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1247"/>
        <w:tblW w:w="9828" w:type="dxa"/>
        <w:tblBorders>
          <w:bottom w:val="single" w:sz="4" w:space="0" w:color="auto"/>
        </w:tblBorders>
        <w:tblLayout w:type="fixed"/>
        <w:tblLook w:val="0000" w:firstRow="0" w:lastRow="0" w:firstColumn="0" w:lastColumn="0" w:noHBand="0" w:noVBand="0"/>
      </w:tblPr>
      <w:tblGrid>
        <w:gridCol w:w="3960"/>
        <w:gridCol w:w="2520"/>
        <w:gridCol w:w="3348"/>
      </w:tblGrid>
      <w:tr w:rsidR="006A7E88" w:rsidRPr="00B741F0" w:rsidTr="005E2176">
        <w:trPr>
          <w:trHeight w:val="2157"/>
        </w:trPr>
        <w:tc>
          <w:tcPr>
            <w:tcW w:w="3960" w:type="dxa"/>
          </w:tcPr>
          <w:p w:rsidR="006A7E88" w:rsidRPr="007264D4" w:rsidRDefault="006A7E88" w:rsidP="005E2176">
            <w:pPr>
              <w:bidi w:val="0"/>
              <w:spacing w:line="280" w:lineRule="atLeast"/>
              <w:rPr>
                <w:sz w:val="20"/>
                <w:szCs w:val="20"/>
              </w:rPr>
            </w:pPr>
            <w:bookmarkStart w:id="0" w:name="_GoBack"/>
            <w:bookmarkEnd w:id="0"/>
            <w:proofErr w:type="spellStart"/>
            <w:smartTag w:uri="urn:schemas-microsoft-com:office:smarttags" w:element="place">
              <w:smartTag w:uri="urn:schemas-microsoft-com:office:smarttags" w:element="PlaceName">
                <w:r>
                  <w:rPr>
                    <w:b/>
                    <w:bCs/>
                    <w:smallCaps/>
                    <w:spacing w:val="5"/>
                    <w:sz w:val="20"/>
                    <w:szCs w:val="20"/>
                  </w:rPr>
                  <w:t>n</w:t>
                </w:r>
                <w:r w:rsidRPr="007264D4">
                  <w:rPr>
                    <w:b/>
                    <w:bCs/>
                    <w:smallCaps/>
                    <w:spacing w:val="5"/>
                    <w:sz w:val="20"/>
                    <w:szCs w:val="20"/>
                  </w:rPr>
                  <w:t>etanya</w:t>
                </w:r>
              </w:smartTag>
              <w:proofErr w:type="spellEnd"/>
              <w:r w:rsidRPr="007264D4">
                <w:rPr>
                  <w:b/>
                  <w:bCs/>
                  <w:smallCaps/>
                  <w:spacing w:val="5"/>
                  <w:sz w:val="20"/>
                  <w:szCs w:val="20"/>
                </w:rPr>
                <w:t xml:space="preserve">  </w:t>
              </w:r>
              <w:smartTag w:uri="urn:schemas-microsoft-com:office:smarttags" w:element="PlaceName">
                <w:r w:rsidRPr="007264D4">
                  <w:rPr>
                    <w:b/>
                    <w:bCs/>
                    <w:smallCaps/>
                    <w:spacing w:val="5"/>
                    <w:sz w:val="20"/>
                    <w:szCs w:val="20"/>
                  </w:rPr>
                  <w:t>Academic</w:t>
                </w:r>
              </w:smartTag>
              <w:r w:rsidRPr="007264D4">
                <w:rPr>
                  <w:b/>
                  <w:bCs/>
                  <w:smallCaps/>
                  <w:spacing w:val="5"/>
                  <w:sz w:val="20"/>
                  <w:szCs w:val="20"/>
                </w:rPr>
                <w:t xml:space="preserve">  </w:t>
              </w:r>
              <w:smartTag w:uri="urn:schemas-microsoft-com:office:smarttags" w:element="PlaceType">
                <w:r w:rsidRPr="007264D4">
                  <w:rPr>
                    <w:b/>
                    <w:bCs/>
                    <w:smallCaps/>
                    <w:spacing w:val="5"/>
                    <w:sz w:val="20"/>
                    <w:szCs w:val="20"/>
                  </w:rPr>
                  <w:t>College</w:t>
                </w:r>
              </w:smartTag>
            </w:smartTag>
            <w:r w:rsidRPr="00B741F0">
              <w:rPr>
                <w:b/>
                <w:bCs/>
                <w:smallCaps/>
                <w:spacing w:val="5"/>
              </w:rPr>
              <w:t xml:space="preserve"> </w:t>
            </w:r>
            <w:r>
              <w:rPr>
                <w:b/>
                <w:bCs/>
                <w:smallCaps/>
                <w:spacing w:val="5"/>
                <w:sz w:val="20"/>
                <w:szCs w:val="20"/>
              </w:rPr>
              <w:t>(</w:t>
            </w:r>
            <w:proofErr w:type="spellStart"/>
            <w:r w:rsidRPr="007264D4">
              <w:rPr>
                <w:b/>
                <w:bCs/>
                <w:smallCaps/>
                <w:spacing w:val="5"/>
                <w:sz w:val="20"/>
                <w:szCs w:val="20"/>
              </w:rPr>
              <w:t>r”s</w:t>
            </w:r>
            <w:proofErr w:type="spellEnd"/>
            <w:r w:rsidRPr="007264D4">
              <w:rPr>
                <w:b/>
                <w:bCs/>
                <w:smallCaps/>
                <w:spacing w:val="5"/>
                <w:sz w:val="20"/>
                <w:szCs w:val="20"/>
              </w:rPr>
              <w:t>)</w:t>
            </w:r>
          </w:p>
          <w:p w:rsidR="006A7E88" w:rsidRPr="007264D4" w:rsidRDefault="006A7E88" w:rsidP="005E2176">
            <w:pPr>
              <w:bidi w:val="0"/>
              <w:spacing w:line="280" w:lineRule="atLeast"/>
              <w:rPr>
                <w:b/>
                <w:bCs/>
                <w:sz w:val="20"/>
                <w:szCs w:val="20"/>
              </w:rPr>
            </w:pPr>
            <w:smartTag w:uri="urn:schemas-microsoft-com:office:smarttags" w:element="Street">
              <w:smartTag w:uri="urn:schemas-microsoft-com:office:smarttags" w:element="country-region">
                <w:smartTag w:uri="urn:schemas-microsoft-com:office:smarttags" w:element="address">
                  <w:r w:rsidRPr="007264D4">
                    <w:rPr>
                      <w:b/>
                      <w:bCs/>
                      <w:sz w:val="20"/>
                      <w:szCs w:val="20"/>
                    </w:rPr>
                    <w:t>1 University St</w:t>
                  </w:r>
                </w:smartTag>
              </w:smartTag>
            </w:smartTag>
            <w:r w:rsidRPr="007264D4">
              <w:rPr>
                <w:b/>
                <w:bCs/>
                <w:sz w:val="20"/>
                <w:szCs w:val="20"/>
              </w:rPr>
              <w:t>.</w:t>
            </w:r>
          </w:p>
          <w:p w:rsidR="006A7E88" w:rsidRPr="007264D4" w:rsidRDefault="006A7E88" w:rsidP="005E2176">
            <w:pPr>
              <w:bidi w:val="0"/>
              <w:spacing w:line="280" w:lineRule="atLeast"/>
              <w:rPr>
                <w:b/>
                <w:bCs/>
                <w:sz w:val="20"/>
                <w:szCs w:val="20"/>
              </w:rPr>
            </w:pPr>
            <w:proofErr w:type="spellStart"/>
            <w:r w:rsidRPr="007264D4">
              <w:rPr>
                <w:b/>
                <w:bCs/>
                <w:sz w:val="20"/>
                <w:szCs w:val="20"/>
              </w:rPr>
              <w:t>Kiryat</w:t>
            </w:r>
            <w:proofErr w:type="spellEnd"/>
            <w:r w:rsidRPr="007264D4">
              <w:rPr>
                <w:b/>
                <w:bCs/>
                <w:sz w:val="20"/>
                <w:szCs w:val="20"/>
              </w:rPr>
              <w:t xml:space="preserve"> Yitzhak Rabin</w:t>
            </w:r>
          </w:p>
          <w:p w:rsidR="006A7E88" w:rsidRPr="00B741F0" w:rsidRDefault="006A7E88" w:rsidP="005E2176">
            <w:pPr>
              <w:bidi w:val="0"/>
              <w:spacing w:line="280" w:lineRule="atLeast"/>
            </w:pPr>
            <w:smartTag w:uri="urn:schemas-microsoft-com:office:smarttags" w:element="place">
              <w:smartTag w:uri="urn:schemas-microsoft-com:office:smarttags" w:element="City">
                <w:smartTag w:uri="urn:schemas-microsoft-com:office:smarttags" w:element="metricconverter">
                  <w:r w:rsidRPr="007264D4">
                    <w:rPr>
                      <w:b/>
                      <w:bCs/>
                      <w:smallCaps/>
                      <w:spacing w:val="5"/>
                      <w:sz w:val="20"/>
                      <w:szCs w:val="20"/>
                    </w:rPr>
                    <w:t>Netanya</w:t>
                  </w:r>
                </w:smartTag>
              </w:smartTag>
              <w:r w:rsidRPr="007264D4">
                <w:rPr>
                  <w:b/>
                  <w:bCs/>
                  <w:sz w:val="20"/>
                  <w:szCs w:val="20"/>
                </w:rPr>
                <w:t xml:space="preserve"> </w:t>
              </w:r>
              <w:smartTag w:uri="urn:schemas-microsoft-com:office:smarttags" w:element="PostalCode">
                <w:r w:rsidRPr="007264D4">
                  <w:rPr>
                    <w:b/>
                    <w:bCs/>
                    <w:sz w:val="20"/>
                    <w:szCs w:val="20"/>
                  </w:rPr>
                  <w:t>42365</w:t>
                </w:r>
              </w:smartTag>
              <w:r w:rsidRPr="007264D4">
                <w:rPr>
                  <w:b/>
                  <w:bCs/>
                  <w:sz w:val="20"/>
                  <w:szCs w:val="20"/>
                </w:rPr>
                <w:t xml:space="preserve">, </w:t>
              </w:r>
              <w:smartTag w:uri="urn:schemas-microsoft-com:office:smarttags" w:element="country-region">
                <w:smartTag w:uri="urn:schemas-microsoft-com:office:smarttags" w:element="PersonName">
                  <w:r w:rsidRPr="007264D4">
                    <w:rPr>
                      <w:b/>
                      <w:bCs/>
                      <w:sz w:val="20"/>
                      <w:szCs w:val="20"/>
                    </w:rPr>
                    <w:t>ISRAEL</w:t>
                  </w:r>
                </w:smartTag>
              </w:smartTag>
            </w:smartTag>
          </w:p>
        </w:tc>
        <w:tc>
          <w:tcPr>
            <w:tcW w:w="2520" w:type="dxa"/>
          </w:tcPr>
          <w:p w:rsidR="006A7E88" w:rsidRDefault="006A7E88" w:rsidP="005E2176">
            <w:pPr>
              <w:spacing w:line="340" w:lineRule="atLeast"/>
              <w:ind w:right="-170"/>
            </w:pPr>
            <w:r>
              <w:t xml:space="preserve">  </w:t>
            </w:r>
          </w:p>
          <w:p w:rsidR="006A7E88" w:rsidRPr="00B741F0" w:rsidRDefault="006A7E88" w:rsidP="005E2176">
            <w:pPr>
              <w:spacing w:line="340" w:lineRule="atLeast"/>
              <w:ind w:right="-170"/>
              <w:jc w:val="center"/>
              <w:rPr>
                <w:rFonts w:cs="FrankRuehl"/>
                <w:b/>
                <w:bCs/>
                <w:rtl/>
              </w:rPr>
            </w:pPr>
            <w:r w:rsidRPr="00B741F0">
              <w:object w:dxaOrig="5561" w:dyaOrig="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7.75pt" o:ole="" fillcolor="window">
                  <v:imagedata r:id="rId8" o:title=""/>
                </v:shape>
                <o:OLEObject Type="Embed" ProgID="MSDraw" ShapeID="_x0000_i1025" DrawAspect="Content" ObjectID="_1758702851" r:id="rId9">
                  <o:FieldCodes>\* mergeformat</o:FieldCodes>
                </o:OLEObject>
              </w:object>
            </w:r>
          </w:p>
          <w:p w:rsidR="006A7E88" w:rsidRPr="00B741F0" w:rsidRDefault="006A7E88" w:rsidP="005E2176">
            <w:pPr>
              <w:spacing w:line="340" w:lineRule="atLeast"/>
              <w:ind w:right="-170"/>
              <w:jc w:val="center"/>
              <w:rPr>
                <w:rFonts w:cs="FrankRuehl"/>
                <w:b/>
                <w:bCs/>
                <w:rtl/>
              </w:rPr>
            </w:pPr>
            <w:r w:rsidRPr="00B741F0">
              <w:rPr>
                <w:rFonts w:cs="FrankRuehl" w:hint="cs"/>
                <w:b/>
                <w:bCs/>
                <w:rtl/>
              </w:rPr>
              <w:t>המרכז ליישומי משפט עברי</w:t>
            </w:r>
          </w:p>
          <w:p w:rsidR="006A7E88" w:rsidRPr="00B741F0" w:rsidRDefault="006A7E88" w:rsidP="005E2176">
            <w:pPr>
              <w:spacing w:line="340" w:lineRule="atLeast"/>
              <w:ind w:right="-170"/>
              <w:jc w:val="center"/>
            </w:pPr>
            <w:r w:rsidRPr="00B741F0">
              <w:rPr>
                <w:rFonts w:cs="FrankRuehl" w:hint="cs"/>
                <w:b/>
                <w:bCs/>
                <w:rtl/>
              </w:rPr>
              <w:t>(</w:t>
            </w:r>
            <w:proofErr w:type="spellStart"/>
            <w:r w:rsidRPr="00B741F0">
              <w:rPr>
                <w:rFonts w:cs="FrankRuehl" w:hint="cs"/>
                <w:b/>
                <w:bCs/>
                <w:rtl/>
              </w:rPr>
              <w:t>ישמ"ע</w:t>
            </w:r>
            <w:proofErr w:type="spellEnd"/>
            <w:r w:rsidRPr="00B741F0">
              <w:rPr>
                <w:rFonts w:cs="FrankRuehl" w:hint="cs"/>
                <w:b/>
                <w:bCs/>
                <w:rtl/>
              </w:rPr>
              <w:t>)</w:t>
            </w:r>
          </w:p>
        </w:tc>
        <w:tc>
          <w:tcPr>
            <w:tcW w:w="3348" w:type="dxa"/>
          </w:tcPr>
          <w:p w:rsidR="006A7E88" w:rsidRPr="00DC26D4" w:rsidRDefault="006A7E88" w:rsidP="005E2176">
            <w:pPr>
              <w:spacing w:line="280" w:lineRule="atLeast"/>
              <w:rPr>
                <w:rtl/>
              </w:rPr>
            </w:pPr>
            <w:r w:rsidRPr="00DC26D4">
              <w:rPr>
                <w:b/>
                <w:bCs/>
                <w:rtl/>
              </w:rPr>
              <w:t xml:space="preserve">המכללה האקדמית נתניה </w:t>
            </w:r>
            <w:proofErr w:type="spellStart"/>
            <w:r>
              <w:rPr>
                <w:rFonts w:hint="cs"/>
                <w:b/>
                <w:bCs/>
                <w:rtl/>
              </w:rPr>
              <w:t>ע</w:t>
            </w:r>
            <w:r w:rsidRPr="00DC26D4">
              <w:rPr>
                <w:b/>
                <w:bCs/>
                <w:rtl/>
              </w:rPr>
              <w:t>"ר</w:t>
            </w:r>
            <w:proofErr w:type="spellEnd"/>
          </w:p>
          <w:p w:rsidR="006A7E88" w:rsidRPr="00DC26D4" w:rsidRDefault="006A7E88" w:rsidP="005E2176">
            <w:pPr>
              <w:spacing w:line="280" w:lineRule="atLeast"/>
              <w:rPr>
                <w:b/>
                <w:bCs/>
                <w:rtl/>
              </w:rPr>
            </w:pPr>
            <w:r w:rsidRPr="00DC26D4">
              <w:rPr>
                <w:b/>
                <w:bCs/>
                <w:rtl/>
              </w:rPr>
              <w:t xml:space="preserve">רח' </w:t>
            </w:r>
            <w:r w:rsidRPr="00DC26D4">
              <w:rPr>
                <w:rFonts w:hint="cs"/>
                <w:b/>
                <w:bCs/>
                <w:rtl/>
              </w:rPr>
              <w:t>האוניברסיטה 1</w:t>
            </w:r>
          </w:p>
          <w:p w:rsidR="006A7E88" w:rsidRPr="00DC26D4" w:rsidRDefault="006A7E88" w:rsidP="005E2176">
            <w:pPr>
              <w:spacing w:line="280" w:lineRule="atLeast"/>
              <w:rPr>
                <w:b/>
                <w:bCs/>
                <w:rtl/>
              </w:rPr>
            </w:pPr>
            <w:proofErr w:type="spellStart"/>
            <w:r w:rsidRPr="00DC26D4">
              <w:rPr>
                <w:b/>
                <w:bCs/>
                <w:rtl/>
              </w:rPr>
              <w:t>קרית</w:t>
            </w:r>
            <w:proofErr w:type="spellEnd"/>
            <w:r w:rsidRPr="00DC26D4">
              <w:rPr>
                <w:b/>
                <w:bCs/>
                <w:rtl/>
              </w:rPr>
              <w:t xml:space="preserve"> יצחק רבין</w:t>
            </w:r>
          </w:p>
          <w:p w:rsidR="006A7E88" w:rsidRPr="00DC26D4" w:rsidRDefault="006A7E88" w:rsidP="005E2176">
            <w:pPr>
              <w:spacing w:line="280" w:lineRule="atLeast"/>
              <w:rPr>
                <w:rtl/>
              </w:rPr>
            </w:pPr>
            <w:r w:rsidRPr="00DC26D4">
              <w:rPr>
                <w:b/>
                <w:bCs/>
                <w:rtl/>
              </w:rPr>
              <w:t>נתניה  42365</w:t>
            </w:r>
          </w:p>
          <w:p w:rsidR="006A7E88" w:rsidRPr="00B741F0" w:rsidRDefault="006A7E88" w:rsidP="005E2176">
            <w:pPr>
              <w:spacing w:line="340" w:lineRule="atLeast"/>
              <w:rPr>
                <w:rFonts w:cs="FrankRuehl"/>
                <w:b/>
                <w:bCs/>
              </w:rPr>
            </w:pPr>
          </w:p>
        </w:tc>
      </w:tr>
    </w:tbl>
    <w:p w:rsidR="006A7E88" w:rsidRPr="00B9401B" w:rsidRDefault="006A7E88" w:rsidP="006A7E88">
      <w:pPr>
        <w:rPr>
          <w:rtl/>
        </w:rPr>
      </w:pPr>
      <w:r w:rsidRPr="00B9401B">
        <w:rPr>
          <w:rFonts w:hint="cs"/>
          <w:rtl/>
        </w:rPr>
        <w:t xml:space="preserve">ב"ה </w:t>
      </w:r>
      <w:r>
        <w:rPr>
          <w:rFonts w:hint="cs"/>
          <w:rtl/>
        </w:rPr>
        <w:t>כ"א אדר א תשע"ה</w:t>
      </w:r>
      <w:r w:rsidRPr="00B9401B">
        <w:rPr>
          <w:rFonts w:hint="cs"/>
          <w:rtl/>
        </w:rPr>
        <w:t xml:space="preserve"> (</w:t>
      </w:r>
      <w:r>
        <w:rPr>
          <w:rFonts w:hint="cs"/>
          <w:rtl/>
        </w:rPr>
        <w:t>21.2.14</w:t>
      </w:r>
      <w:r w:rsidRPr="00B9401B">
        <w:rPr>
          <w:rFonts w:hint="cs"/>
          <w:rtl/>
        </w:rPr>
        <w:t xml:space="preserve">) </w:t>
      </w:r>
    </w:p>
    <w:p w:rsidR="006A7E88" w:rsidRDefault="006A7E88" w:rsidP="006620AA">
      <w:pPr>
        <w:pStyle w:val="11"/>
        <w:numPr>
          <w:ilvl w:val="0"/>
          <w:numId w:val="0"/>
        </w:numPr>
        <w:spacing w:before="120"/>
        <w:ind w:left="357"/>
        <w:jc w:val="center"/>
        <w:rPr>
          <w:rStyle w:val="HTMLCite"/>
          <w:i w:val="0"/>
          <w:iCs w:val="0"/>
          <w:sz w:val="26"/>
          <w:szCs w:val="26"/>
          <w:rtl/>
        </w:rPr>
      </w:pPr>
    </w:p>
    <w:p w:rsidR="006620AA" w:rsidRPr="006A7E88" w:rsidRDefault="006620AA" w:rsidP="006620AA">
      <w:pPr>
        <w:pStyle w:val="11"/>
        <w:numPr>
          <w:ilvl w:val="0"/>
          <w:numId w:val="0"/>
        </w:numPr>
        <w:spacing w:before="120"/>
        <w:ind w:left="357"/>
        <w:jc w:val="center"/>
        <w:rPr>
          <w:rStyle w:val="HTMLCite"/>
          <w:i w:val="0"/>
          <w:iCs w:val="0"/>
          <w:rtl/>
        </w:rPr>
      </w:pPr>
      <w:r w:rsidRPr="006A7E88">
        <w:rPr>
          <w:rStyle w:val="HTMLCite"/>
          <w:rFonts w:hint="cs"/>
          <w:i w:val="0"/>
          <w:iCs w:val="0"/>
          <w:rtl/>
        </w:rPr>
        <w:t>פומביות הדיון במשפט העברי</w:t>
      </w:r>
    </w:p>
    <w:p w:rsidR="006A7E88" w:rsidRPr="006A7E88" w:rsidRDefault="006A7E88" w:rsidP="006620AA">
      <w:pPr>
        <w:pStyle w:val="11"/>
        <w:numPr>
          <w:ilvl w:val="0"/>
          <w:numId w:val="0"/>
        </w:numPr>
        <w:spacing w:before="120"/>
        <w:ind w:left="357"/>
        <w:jc w:val="center"/>
        <w:rPr>
          <w:rStyle w:val="HTMLCite"/>
          <w:b w:val="0"/>
          <w:bCs w:val="0"/>
          <w:i w:val="0"/>
          <w:iCs w:val="0"/>
          <w:sz w:val="24"/>
          <w:szCs w:val="24"/>
          <w:rtl/>
        </w:rPr>
      </w:pPr>
      <w:r w:rsidRPr="006A7E88">
        <w:rPr>
          <w:rStyle w:val="HTMLCite"/>
          <w:rFonts w:hint="cs"/>
          <w:b w:val="0"/>
          <w:bCs w:val="0"/>
          <w:i w:val="0"/>
          <w:iCs w:val="0"/>
          <w:sz w:val="24"/>
          <w:szCs w:val="24"/>
          <w:rtl/>
        </w:rPr>
        <w:t>מאת</w:t>
      </w:r>
    </w:p>
    <w:p w:rsidR="006A7E88" w:rsidRPr="006A7E88" w:rsidRDefault="006A7E88" w:rsidP="006620AA">
      <w:pPr>
        <w:pStyle w:val="11"/>
        <w:numPr>
          <w:ilvl w:val="0"/>
          <w:numId w:val="0"/>
        </w:numPr>
        <w:spacing w:before="120"/>
        <w:ind w:left="357"/>
        <w:jc w:val="center"/>
        <w:rPr>
          <w:rStyle w:val="HTMLCite"/>
          <w:b w:val="0"/>
          <w:bCs w:val="0"/>
          <w:i w:val="0"/>
          <w:iCs w:val="0"/>
          <w:sz w:val="24"/>
          <w:szCs w:val="24"/>
          <w:rtl/>
        </w:rPr>
      </w:pPr>
      <w:r w:rsidRPr="006A7E88">
        <w:rPr>
          <w:rStyle w:val="HTMLCite"/>
          <w:rFonts w:hint="cs"/>
          <w:b w:val="0"/>
          <w:bCs w:val="0"/>
          <w:i w:val="0"/>
          <w:iCs w:val="0"/>
          <w:sz w:val="24"/>
          <w:szCs w:val="24"/>
          <w:rtl/>
        </w:rPr>
        <w:t xml:space="preserve">הרב עו"ד ירון </w:t>
      </w:r>
      <w:proofErr w:type="spellStart"/>
      <w:r w:rsidRPr="006A7E88">
        <w:rPr>
          <w:rStyle w:val="HTMLCite"/>
          <w:rFonts w:hint="cs"/>
          <w:b w:val="0"/>
          <w:bCs w:val="0"/>
          <w:i w:val="0"/>
          <w:iCs w:val="0"/>
          <w:sz w:val="24"/>
          <w:szCs w:val="24"/>
          <w:rtl/>
        </w:rPr>
        <w:t>אונגר</w:t>
      </w:r>
      <w:proofErr w:type="spellEnd"/>
      <w:r w:rsidRPr="006A7E88">
        <w:rPr>
          <w:rStyle w:val="HTMLCite"/>
          <w:rFonts w:hint="cs"/>
          <w:b w:val="0"/>
          <w:bCs w:val="0"/>
          <w:i w:val="0"/>
          <w:iCs w:val="0"/>
          <w:sz w:val="24"/>
          <w:szCs w:val="24"/>
          <w:rtl/>
        </w:rPr>
        <w:t xml:space="preserve"> ופרופ' יובל סיני</w:t>
      </w:r>
    </w:p>
    <w:p w:rsidR="00EA58D9" w:rsidRDefault="006620AA" w:rsidP="00EF3DE6">
      <w:pPr>
        <w:rPr>
          <w:rStyle w:val="HTMLCite"/>
          <w:i w:val="0"/>
          <w:iCs w:val="0"/>
          <w:rtl/>
        </w:rPr>
      </w:pPr>
      <w:r>
        <w:rPr>
          <w:rFonts w:hint="cs"/>
          <w:spacing w:val="-4"/>
          <w:rtl/>
        </w:rPr>
        <w:t xml:space="preserve">עיקרון </w:t>
      </w:r>
      <w:r w:rsidR="00B30AB5">
        <w:rPr>
          <w:rFonts w:hint="cs"/>
          <w:spacing w:val="-4"/>
          <w:rtl/>
        </w:rPr>
        <w:t>פומביות</w:t>
      </w:r>
      <w:r>
        <w:rPr>
          <w:rFonts w:hint="cs"/>
          <w:spacing w:val="-4"/>
          <w:rtl/>
        </w:rPr>
        <w:t xml:space="preserve"> הדיון הוא </w:t>
      </w:r>
      <w:proofErr w:type="spellStart"/>
      <w:r>
        <w:rPr>
          <w:rFonts w:hint="cs"/>
          <w:spacing w:val="-4"/>
          <w:rtl/>
        </w:rPr>
        <w:t>מאושיותיו</w:t>
      </w:r>
      <w:proofErr w:type="spellEnd"/>
      <w:r>
        <w:rPr>
          <w:rFonts w:hint="cs"/>
          <w:spacing w:val="-4"/>
          <w:rtl/>
        </w:rPr>
        <w:t xml:space="preserve"> של ההליך המשפטי במדינה הדמוקרטית. </w:t>
      </w:r>
      <w:r w:rsidR="00B30AB5">
        <w:rPr>
          <w:rStyle w:val="HTMLCite"/>
          <w:rFonts w:hint="cs"/>
          <w:i w:val="0"/>
          <w:iCs w:val="0"/>
          <w:rtl/>
        </w:rPr>
        <w:t>ז</w:t>
      </w:r>
      <w:r w:rsidR="00B30AB5" w:rsidRPr="00636ACF">
        <w:rPr>
          <w:rStyle w:val="HTMLCite"/>
          <w:rFonts w:hint="cs"/>
          <w:i w:val="0"/>
          <w:iCs w:val="0"/>
          <w:rtl/>
        </w:rPr>
        <w:t>הו ""</w:t>
      </w:r>
      <w:r w:rsidR="00B30AB5" w:rsidRPr="00636ACF">
        <w:rPr>
          <w:rStyle w:val="HTMLCite"/>
          <w:i w:val="0"/>
          <w:iCs w:val="0"/>
          <w:rtl/>
        </w:rPr>
        <w:t>עקרון יסוד של כל משטר דמוקרטי. הוא בעל מעמד חוקתי על-חוקי בשיטתנו המשפטית, ועל חשיבותו ומרכזיותו אין חולק</w:t>
      </w:r>
      <w:r w:rsidR="00B30AB5" w:rsidRPr="00636ACF">
        <w:rPr>
          <w:rStyle w:val="HTMLCite"/>
          <w:rFonts w:hint="cs"/>
          <w:i w:val="0"/>
          <w:iCs w:val="0"/>
          <w:rtl/>
        </w:rPr>
        <w:t>".</w:t>
      </w:r>
      <w:r w:rsidR="00B30AB5" w:rsidRPr="00636ACF">
        <w:rPr>
          <w:rStyle w:val="a5"/>
          <w:rtl/>
        </w:rPr>
        <w:footnoteReference w:id="1"/>
      </w:r>
      <w:r w:rsidR="00B30AB5" w:rsidRPr="00636ACF">
        <w:rPr>
          <w:rStyle w:val="HTMLCite"/>
          <w:i w:val="0"/>
          <w:iCs w:val="0"/>
          <w:rtl/>
        </w:rPr>
        <w:t xml:space="preserve"> </w:t>
      </w:r>
    </w:p>
    <w:p w:rsidR="00EF3DE6" w:rsidRPr="00636ACF" w:rsidRDefault="00EA58D9" w:rsidP="00EA58D9">
      <w:pPr>
        <w:rPr>
          <w:rStyle w:val="HTMLCite"/>
          <w:i w:val="0"/>
          <w:iCs w:val="0"/>
          <w:rtl/>
        </w:rPr>
      </w:pPr>
      <w:r>
        <w:rPr>
          <w:rStyle w:val="HTMLCite"/>
          <w:rFonts w:hint="cs"/>
          <w:i w:val="0"/>
          <w:iCs w:val="0"/>
          <w:rtl/>
        </w:rPr>
        <w:t xml:space="preserve">השמירה על </w:t>
      </w:r>
      <w:r w:rsidR="00EF3DE6" w:rsidRPr="00636ACF">
        <w:rPr>
          <w:rStyle w:val="HTMLCite"/>
          <w:rFonts w:hint="cs"/>
          <w:i w:val="0"/>
          <w:iCs w:val="0"/>
          <w:rtl/>
        </w:rPr>
        <w:t xml:space="preserve">עיקרון זה </w:t>
      </w:r>
      <w:r>
        <w:rPr>
          <w:rStyle w:val="HTMLCite"/>
          <w:rFonts w:hint="cs"/>
          <w:i w:val="0"/>
          <w:iCs w:val="0"/>
          <w:rtl/>
        </w:rPr>
        <w:t xml:space="preserve">היא </w:t>
      </w:r>
      <w:r w:rsidR="00EF3DE6" w:rsidRPr="00636ACF">
        <w:rPr>
          <w:rStyle w:val="HTMLCite"/>
          <w:rFonts w:hint="cs"/>
          <w:i w:val="0"/>
          <w:iCs w:val="0"/>
          <w:rtl/>
        </w:rPr>
        <w:t>"</w:t>
      </w:r>
      <w:r w:rsidR="00EF3DE6" w:rsidRPr="00636ACF">
        <w:rPr>
          <w:rStyle w:val="HTMLCite"/>
          <w:i w:val="0"/>
          <w:iCs w:val="0"/>
          <w:rtl/>
        </w:rPr>
        <w:t>אחת הערובות העיקריות לתקינותו של ההליך המשפטי, הן בתחום עשיית הצדק ובירור האמת, הלכה למעשה, והן בתחום מראית פני הצדק קבל עם ועדה"</w:t>
      </w:r>
      <w:r w:rsidR="00EF3DE6" w:rsidRPr="00636ACF">
        <w:rPr>
          <w:rStyle w:val="HTMLCite"/>
          <w:rFonts w:hint="cs"/>
          <w:i w:val="0"/>
          <w:iCs w:val="0"/>
          <w:rtl/>
        </w:rPr>
        <w:t>.</w:t>
      </w:r>
      <w:r w:rsidR="00EF3DE6" w:rsidRPr="00636ACF">
        <w:rPr>
          <w:rStyle w:val="a5"/>
          <w:rtl/>
        </w:rPr>
        <w:footnoteReference w:id="2"/>
      </w:r>
      <w:r w:rsidR="00EF3DE6" w:rsidRPr="00636ACF">
        <w:rPr>
          <w:rStyle w:val="HTMLCite"/>
          <w:rFonts w:hint="cs"/>
          <w:i w:val="0"/>
          <w:iCs w:val="0"/>
          <w:rtl/>
        </w:rPr>
        <w:t xml:space="preserve"> מערכת המשפט במשטר הדמוקרטי</w:t>
      </w:r>
      <w:r>
        <w:rPr>
          <w:rStyle w:val="HTMLCite"/>
          <w:rFonts w:hint="cs"/>
          <w:i w:val="0"/>
          <w:iCs w:val="0"/>
          <w:rtl/>
        </w:rPr>
        <w:t xml:space="preserve"> מתאפיינת כמערכת ה</w:t>
      </w:r>
      <w:r w:rsidR="00EF3DE6" w:rsidRPr="00636ACF">
        <w:rPr>
          <w:rStyle w:val="HTMLCite"/>
          <w:rFonts w:hint="cs"/>
          <w:i w:val="0"/>
          <w:iCs w:val="0"/>
          <w:rtl/>
        </w:rPr>
        <w:t>"</w:t>
      </w:r>
      <w:r w:rsidR="00EF3DE6" w:rsidRPr="00636ACF">
        <w:rPr>
          <w:rStyle w:val="HTMLCite"/>
          <w:i w:val="0"/>
          <w:iCs w:val="0"/>
          <w:rtl/>
        </w:rPr>
        <w:t>פותחת את שעריה ומזמינה את כלל הציבור להיחשף לפעולותיה, ללמוד אותן, להעריך אותן ולהעבירן תחת שבט הביקורת</w:t>
      </w:r>
      <w:r w:rsidR="00EF3DE6" w:rsidRPr="00636ACF">
        <w:rPr>
          <w:rStyle w:val="HTMLCite"/>
          <w:rFonts w:hint="cs"/>
          <w:i w:val="0"/>
          <w:iCs w:val="0"/>
          <w:rtl/>
        </w:rPr>
        <w:t>".</w:t>
      </w:r>
      <w:r w:rsidR="00EF3DE6" w:rsidRPr="00636ACF">
        <w:rPr>
          <w:rStyle w:val="a5"/>
          <w:rtl/>
        </w:rPr>
        <w:footnoteReference w:id="3"/>
      </w:r>
      <w:r w:rsidR="00EF3DE6" w:rsidRPr="00636ACF">
        <w:rPr>
          <w:rStyle w:val="HTMLCite"/>
          <w:i w:val="0"/>
          <w:iCs w:val="0"/>
          <w:rtl/>
        </w:rPr>
        <w:t xml:space="preserve"> </w:t>
      </w:r>
      <w:r w:rsidR="00EF3DE6" w:rsidRPr="00636ACF">
        <w:rPr>
          <w:rStyle w:val="HTMLCite"/>
          <w:rFonts w:hint="cs"/>
          <w:i w:val="0"/>
          <w:iCs w:val="0"/>
          <w:rtl/>
        </w:rPr>
        <w:t>ביקורת זו היא חיונית "</w:t>
      </w:r>
      <w:r w:rsidR="00EF3DE6" w:rsidRPr="00636ACF">
        <w:rPr>
          <w:rStyle w:val="HTMLCite"/>
          <w:i w:val="0"/>
          <w:iCs w:val="0"/>
          <w:rtl/>
        </w:rPr>
        <w:t>לתקינותה של מערכת המשפט כולה ולהבטחתו של אמון הציבור בה</w:t>
      </w:r>
      <w:r w:rsidR="00EF3DE6" w:rsidRPr="00636ACF">
        <w:rPr>
          <w:rStyle w:val="HTMLCite"/>
          <w:rFonts w:hint="cs"/>
          <w:i w:val="0"/>
          <w:iCs w:val="0"/>
          <w:rtl/>
        </w:rPr>
        <w:t>".</w:t>
      </w:r>
      <w:r w:rsidR="00EF3DE6" w:rsidRPr="00636ACF">
        <w:rPr>
          <w:rStyle w:val="a5"/>
          <w:rtl/>
        </w:rPr>
        <w:footnoteReference w:id="4"/>
      </w:r>
      <w:r w:rsidR="00EF3DE6" w:rsidRPr="00636ACF">
        <w:rPr>
          <w:rStyle w:val="HTMLCite"/>
          <w:rFonts w:hint="cs"/>
          <w:i w:val="0"/>
          <w:iCs w:val="0"/>
          <w:rtl/>
        </w:rPr>
        <w:t xml:space="preserve"> </w:t>
      </w:r>
    </w:p>
    <w:p w:rsidR="00B30AB5" w:rsidRDefault="00EA58D9" w:rsidP="005B1AE7">
      <w:pPr>
        <w:rPr>
          <w:rStyle w:val="HTMLCite"/>
          <w:i w:val="0"/>
          <w:iCs w:val="0"/>
          <w:rtl/>
        </w:rPr>
      </w:pPr>
      <w:r>
        <w:rPr>
          <w:rStyle w:val="HTMLCite"/>
          <w:rFonts w:hint="cs"/>
          <w:i w:val="0"/>
          <w:iCs w:val="0"/>
          <w:rtl/>
        </w:rPr>
        <w:t>פומב</w:t>
      </w:r>
      <w:r w:rsidR="005B1AE7">
        <w:rPr>
          <w:rStyle w:val="HTMLCite"/>
          <w:rFonts w:hint="cs"/>
          <w:i w:val="0"/>
          <w:iCs w:val="0"/>
          <w:rtl/>
        </w:rPr>
        <w:t>יות הדיון מחייבת את פתיחתם של שערי בית המשפט בפני הציבור, ולא פחות חשוב מכך, את פרסומם של פסקי הדין היוצאים מתחת ידיהם של השופטים.</w:t>
      </w:r>
      <w:bookmarkStart w:id="1" w:name="_Ref387666875"/>
      <w:r w:rsidR="005B1AE7" w:rsidRPr="00636ACF">
        <w:rPr>
          <w:rStyle w:val="a5"/>
          <w:rtl/>
        </w:rPr>
        <w:footnoteReference w:id="5"/>
      </w:r>
      <w:bookmarkEnd w:id="1"/>
    </w:p>
    <w:p w:rsidR="006620AA" w:rsidRPr="006620AA" w:rsidRDefault="005B1AE7" w:rsidP="005B1AE7">
      <w:pPr>
        <w:rPr>
          <w:spacing w:val="-4"/>
          <w:rtl/>
        </w:rPr>
      </w:pPr>
      <w:r>
        <w:rPr>
          <w:rStyle w:val="HTMLCite"/>
          <w:rFonts w:hint="cs"/>
          <w:i w:val="0"/>
          <w:iCs w:val="0"/>
          <w:rtl/>
        </w:rPr>
        <w:t>בשורות הבאות ננסה לבחון מהו מעמדו של עיקרון זה במשפט העברי.</w:t>
      </w:r>
    </w:p>
    <w:p w:rsidR="006620AA" w:rsidRDefault="006620AA" w:rsidP="006620AA">
      <w:pPr>
        <w:pStyle w:val="10"/>
        <w:rPr>
          <w:rtl/>
        </w:rPr>
      </w:pPr>
      <w:r>
        <w:rPr>
          <w:rFonts w:hint="cs"/>
          <w:rtl/>
        </w:rPr>
        <w:t>מקום כינוס בית הדין</w:t>
      </w:r>
    </w:p>
    <w:p w:rsidR="00E16D79" w:rsidRPr="00636ACF" w:rsidRDefault="00E16D79" w:rsidP="00E16D79">
      <w:pPr>
        <w:rPr>
          <w:rtl/>
        </w:rPr>
      </w:pPr>
      <w:r w:rsidRPr="00636ACF">
        <w:rPr>
          <w:rFonts w:hint="cs"/>
          <w:spacing w:val="-4"/>
          <w:rtl/>
        </w:rPr>
        <w:t>השופט חיים כהן</w:t>
      </w:r>
      <w:r>
        <w:rPr>
          <w:rFonts w:hint="cs"/>
          <w:rtl/>
        </w:rPr>
        <w:t xml:space="preserve"> ביקש למצוא סמך לעיקרון פומביות הדיון במשפט העברי, במקום שנקבע כמקום  מושבו של בית הדין</w:t>
      </w:r>
      <w:r w:rsidRPr="00636ACF">
        <w:rPr>
          <w:rFonts w:hint="cs"/>
          <w:rtl/>
        </w:rPr>
        <w:t xml:space="preserve"> </w:t>
      </w:r>
      <w:r w:rsidRPr="00636ACF">
        <w:rPr>
          <w:rtl/>
        </w:rPr>
        <w:t>–</w:t>
      </w:r>
      <w:r w:rsidRPr="00636ACF">
        <w:rPr>
          <w:rFonts w:hint="cs"/>
          <w:rtl/>
        </w:rPr>
        <w:t xml:space="preserve"> </w:t>
      </w:r>
    </w:p>
    <w:p w:rsidR="00E16D79" w:rsidRPr="00636ACF" w:rsidRDefault="00E16D79" w:rsidP="00E16D79">
      <w:pPr>
        <w:ind w:left="567" w:right="567"/>
        <w:rPr>
          <w:rStyle w:val="HTMLCite"/>
          <w:i w:val="0"/>
          <w:iCs w:val="0"/>
          <w:rtl/>
        </w:rPr>
      </w:pPr>
      <w:r w:rsidRPr="00636ACF">
        <w:rPr>
          <w:rStyle w:val="HTMLCite"/>
          <w:rFonts w:hint="cs"/>
          <w:i w:val="0"/>
          <w:iCs w:val="0"/>
          <w:rtl/>
        </w:rPr>
        <w:lastRenderedPageBreak/>
        <w:t xml:space="preserve">פומביות השיפוט מסורת היא מימים ימימה: </w:t>
      </w:r>
      <w:r w:rsidRPr="00636ACF">
        <w:rPr>
          <w:rStyle w:val="HTMLCite"/>
          <w:i w:val="0"/>
          <w:iCs w:val="0"/>
          <w:rtl/>
        </w:rPr>
        <w:t xml:space="preserve">האלמנה שתבעה את יבמה לדין עלתה 'השערה אל הזקנים' </w:t>
      </w:r>
      <w:r w:rsidRPr="00636ACF">
        <w:rPr>
          <w:rStyle w:val="HTMLCite"/>
          <w:rFonts w:hint="cs"/>
          <w:i w:val="0"/>
          <w:iCs w:val="0"/>
          <w:rtl/>
        </w:rPr>
        <w:t>(</w:t>
      </w:r>
      <w:r w:rsidRPr="00636ACF">
        <w:rPr>
          <w:rStyle w:val="HTMLCite"/>
          <w:i w:val="0"/>
          <w:iCs w:val="0"/>
          <w:rtl/>
        </w:rPr>
        <w:t xml:space="preserve">דברים כה, ז); 'ובועז עלה השער' וקנה את כל אשר לאלימלך ולקח לו את רות </w:t>
      </w:r>
      <w:proofErr w:type="spellStart"/>
      <w:r w:rsidRPr="00636ACF">
        <w:rPr>
          <w:rStyle w:val="HTMLCite"/>
          <w:i w:val="0"/>
          <w:iCs w:val="0"/>
          <w:rtl/>
        </w:rPr>
        <w:t>המואביה</w:t>
      </w:r>
      <w:proofErr w:type="spellEnd"/>
      <w:r w:rsidRPr="00636ACF">
        <w:rPr>
          <w:rStyle w:val="HTMLCite"/>
          <w:i w:val="0"/>
          <w:iCs w:val="0"/>
          <w:rtl/>
        </w:rPr>
        <w:t xml:space="preserve"> לאשה לפני 'כל העם אשר בשער והזקנים' (רות ד, א ו-יא). השופטים (והשוטרים) </w:t>
      </w:r>
      <w:proofErr w:type="spellStart"/>
      <w:r w:rsidRPr="00636ACF">
        <w:rPr>
          <w:rStyle w:val="HTMLCite"/>
          <w:i w:val="0"/>
          <w:iCs w:val="0"/>
          <w:rtl/>
        </w:rPr>
        <w:t>צווו</w:t>
      </w:r>
      <w:proofErr w:type="spellEnd"/>
      <w:r w:rsidRPr="00636ACF">
        <w:rPr>
          <w:rStyle w:val="HTMLCite"/>
          <w:i w:val="0"/>
          <w:iCs w:val="0"/>
          <w:rtl/>
        </w:rPr>
        <w:t xml:space="preserve"> להימצא 'בכל שעריך' (דברים </w:t>
      </w:r>
      <w:proofErr w:type="spellStart"/>
      <w:r w:rsidRPr="00636ACF">
        <w:rPr>
          <w:rStyle w:val="HTMLCite"/>
          <w:i w:val="0"/>
          <w:iCs w:val="0"/>
          <w:rtl/>
        </w:rPr>
        <w:t>טז</w:t>
      </w:r>
      <w:proofErr w:type="spellEnd"/>
      <w:r w:rsidRPr="00636ACF">
        <w:rPr>
          <w:rStyle w:val="HTMLCite"/>
          <w:i w:val="0"/>
          <w:iCs w:val="0"/>
          <w:rtl/>
        </w:rPr>
        <w:t xml:space="preserve">, </w:t>
      </w:r>
      <w:proofErr w:type="spellStart"/>
      <w:r w:rsidRPr="00636ACF">
        <w:rPr>
          <w:rStyle w:val="HTMLCite"/>
          <w:i w:val="0"/>
          <w:iCs w:val="0"/>
          <w:rtl/>
        </w:rPr>
        <w:t>יח</w:t>
      </w:r>
      <w:proofErr w:type="spellEnd"/>
      <w:r w:rsidRPr="00636ACF">
        <w:rPr>
          <w:rStyle w:val="HTMLCite"/>
          <w:i w:val="0"/>
          <w:iCs w:val="0"/>
          <w:rtl/>
        </w:rPr>
        <w:t xml:space="preserve">), ואת הבן הסורר הביאו לדין 'אל זקני עירו ואל שער מקומו' (שם </w:t>
      </w:r>
      <w:proofErr w:type="spellStart"/>
      <w:r w:rsidRPr="00636ACF">
        <w:rPr>
          <w:rStyle w:val="HTMLCite"/>
          <w:i w:val="0"/>
          <w:iCs w:val="0"/>
          <w:rtl/>
        </w:rPr>
        <w:t>כא</w:t>
      </w:r>
      <w:proofErr w:type="spellEnd"/>
      <w:r w:rsidRPr="00636ACF">
        <w:rPr>
          <w:rStyle w:val="HTMLCite"/>
          <w:i w:val="0"/>
          <w:iCs w:val="0"/>
          <w:rtl/>
        </w:rPr>
        <w:t xml:space="preserve">, </w:t>
      </w:r>
      <w:proofErr w:type="spellStart"/>
      <w:r w:rsidRPr="00636ACF">
        <w:rPr>
          <w:rStyle w:val="HTMLCite"/>
          <w:i w:val="0"/>
          <w:iCs w:val="0"/>
          <w:rtl/>
        </w:rPr>
        <w:t>יט</w:t>
      </w:r>
      <w:proofErr w:type="spellEnd"/>
      <w:r w:rsidRPr="00636ACF">
        <w:rPr>
          <w:rStyle w:val="HTMLCite"/>
          <w:i w:val="0"/>
          <w:iCs w:val="0"/>
          <w:rtl/>
        </w:rPr>
        <w:t xml:space="preserve">). עזרא קרא את בית דינו להיאסף 'ברחוב בית </w:t>
      </w:r>
      <w:proofErr w:type="spellStart"/>
      <w:r w:rsidRPr="00636ACF">
        <w:rPr>
          <w:rStyle w:val="HTMLCite"/>
          <w:i w:val="0"/>
          <w:iCs w:val="0"/>
          <w:rtl/>
        </w:rPr>
        <w:t>האלקים</w:t>
      </w:r>
      <w:proofErr w:type="spellEnd"/>
      <w:r w:rsidRPr="00636ACF">
        <w:rPr>
          <w:rStyle w:val="HTMLCite"/>
          <w:i w:val="0"/>
          <w:iCs w:val="0"/>
          <w:rtl/>
        </w:rPr>
        <w:t xml:space="preserve">' תחת כיפת השמים (עזרא י, ט) והסנהדרין ישבה בלשכת הגזית שבבית המקדש, שעה שישבה בהרכבה המלא של שבעים ואחד; אבל בהרכבה של עשרים ושלושה, כשישבה לדון בדיני נפשות, ישבה 'על פתח הר הבית' או 'על פתח העזרה' (סנהדרין </w:t>
      </w:r>
      <w:proofErr w:type="spellStart"/>
      <w:r w:rsidRPr="00636ACF">
        <w:rPr>
          <w:rStyle w:val="HTMLCite"/>
          <w:i w:val="0"/>
          <w:iCs w:val="0"/>
          <w:rtl/>
        </w:rPr>
        <w:t>פח,ב</w:t>
      </w:r>
      <w:proofErr w:type="spellEnd"/>
      <w:r w:rsidRPr="00636ACF">
        <w:rPr>
          <w:rStyle w:val="HTMLCite"/>
          <w:i w:val="0"/>
          <w:iCs w:val="0"/>
          <w:rtl/>
        </w:rPr>
        <w:t xml:space="preserve">), מקום שהיה פתוח לפני כל העם, שהעזרה </w:t>
      </w:r>
      <w:proofErr w:type="spellStart"/>
      <w:r w:rsidRPr="00636ACF">
        <w:rPr>
          <w:rStyle w:val="HTMLCite"/>
          <w:i w:val="0"/>
          <w:iCs w:val="0"/>
          <w:rtl/>
        </w:rPr>
        <w:t>היתה</w:t>
      </w:r>
      <w:proofErr w:type="spellEnd"/>
      <w:r w:rsidRPr="00636ACF">
        <w:rPr>
          <w:rStyle w:val="HTMLCite"/>
          <w:i w:val="0"/>
          <w:iCs w:val="0"/>
          <w:rtl/>
        </w:rPr>
        <w:t xml:space="preserve"> 'מלאה מישראל' (יומא א, ח).</w:t>
      </w:r>
      <w:r w:rsidRPr="00636ACF">
        <w:rPr>
          <w:rStyle w:val="a5"/>
          <w:rtl/>
        </w:rPr>
        <w:footnoteReference w:id="6"/>
      </w:r>
    </w:p>
    <w:p w:rsidR="006620AA" w:rsidRDefault="00E41F2D" w:rsidP="009B5D18">
      <w:pPr>
        <w:rPr>
          <w:spacing w:val="-4"/>
          <w:rtl/>
        </w:rPr>
      </w:pPr>
      <w:r>
        <w:rPr>
          <w:rFonts w:hint="cs"/>
          <w:spacing w:val="-4"/>
          <w:rtl/>
        </w:rPr>
        <w:t>ואולם, ספק אם ניתן להסתמך על מקום ישיבת בית הדין כמקור עצמאי ל</w:t>
      </w:r>
      <w:r w:rsidR="009B5D18">
        <w:rPr>
          <w:rFonts w:hint="cs"/>
          <w:spacing w:val="-4"/>
          <w:rtl/>
        </w:rPr>
        <w:t xml:space="preserve">עיקרון פומביות הדיון. ייתכן שבתי הדין התכנסו בשער העיר כדי </w:t>
      </w:r>
      <w:proofErr w:type="spellStart"/>
      <w:r w:rsidR="009B5D18">
        <w:rPr>
          <w:rFonts w:hint="cs"/>
          <w:spacing w:val="-4"/>
          <w:rtl/>
        </w:rPr>
        <w:t>להנגיש</w:t>
      </w:r>
      <w:proofErr w:type="spellEnd"/>
      <w:r w:rsidR="009B5D18">
        <w:rPr>
          <w:rFonts w:hint="cs"/>
          <w:spacing w:val="-4"/>
          <w:rtl/>
        </w:rPr>
        <w:t xml:space="preserve"> את בית הדין לכלל הציבור. </w:t>
      </w:r>
      <w:proofErr w:type="spellStart"/>
      <w:r w:rsidR="009B5D18">
        <w:rPr>
          <w:rFonts w:hint="cs"/>
          <w:spacing w:val="-4"/>
          <w:rtl/>
        </w:rPr>
        <w:t>הנגשת</w:t>
      </w:r>
      <w:proofErr w:type="spellEnd"/>
      <w:r w:rsidR="009B5D18">
        <w:rPr>
          <w:rFonts w:hint="cs"/>
          <w:spacing w:val="-4"/>
          <w:rtl/>
        </w:rPr>
        <w:t xml:space="preserve"> בית הדין לציבור אינה מלמדת שהציבור רשאי להיות נוכח בדיון המשפטי, או שבית הדין נדרש לפרסם את החלטותיו.</w:t>
      </w:r>
    </w:p>
    <w:p w:rsidR="005B1AE7" w:rsidRPr="00E16D79" w:rsidRDefault="005B1AE7" w:rsidP="00E16D79">
      <w:pPr>
        <w:pStyle w:val="10"/>
        <w:rPr>
          <w:rtl/>
        </w:rPr>
      </w:pPr>
      <w:r w:rsidRPr="00E16D79">
        <w:rPr>
          <w:rFonts w:hint="cs"/>
          <w:rtl/>
        </w:rPr>
        <w:t>"והייתם נקיים"</w:t>
      </w:r>
    </w:p>
    <w:p w:rsidR="00F33F81" w:rsidRDefault="00282850" w:rsidP="00F33F81">
      <w:pPr>
        <w:rPr>
          <w:spacing w:val="-4"/>
          <w:rtl/>
        </w:rPr>
      </w:pPr>
      <w:r>
        <w:rPr>
          <w:rFonts w:hint="cs"/>
          <w:spacing w:val="-4"/>
          <w:rtl/>
        </w:rPr>
        <w:t xml:space="preserve">פרופ' </w:t>
      </w:r>
      <w:proofErr w:type="spellStart"/>
      <w:r>
        <w:rPr>
          <w:rFonts w:hint="cs"/>
          <w:spacing w:val="-4"/>
          <w:rtl/>
        </w:rPr>
        <w:t>שוחטמן</w:t>
      </w:r>
      <w:proofErr w:type="spellEnd"/>
      <w:r>
        <w:rPr>
          <w:rFonts w:hint="cs"/>
          <w:spacing w:val="-4"/>
          <w:rtl/>
        </w:rPr>
        <w:t xml:space="preserve"> מציע לבחון את קיומו של עיקרון פומביות הדיון במשפט העברי לאור חובתם של ה</w:t>
      </w:r>
      <w:r w:rsidR="00F33F81">
        <w:rPr>
          <w:rFonts w:hint="cs"/>
          <w:spacing w:val="-4"/>
          <w:rtl/>
        </w:rPr>
        <w:t xml:space="preserve">נושאים בתפקיד ציבורי למנוע לזות שפתיים עליהם </w:t>
      </w:r>
      <w:r w:rsidR="00F33F81">
        <w:rPr>
          <w:spacing w:val="-4"/>
          <w:rtl/>
        </w:rPr>
        <w:t>–</w:t>
      </w:r>
      <w:r w:rsidR="00F33F81">
        <w:rPr>
          <w:rFonts w:hint="cs"/>
          <w:spacing w:val="-4"/>
          <w:rtl/>
        </w:rPr>
        <w:t xml:space="preserve"> </w:t>
      </w:r>
    </w:p>
    <w:p w:rsidR="00282850" w:rsidRDefault="00282850" w:rsidP="00F33F81">
      <w:pPr>
        <w:ind w:left="567" w:right="567"/>
        <w:rPr>
          <w:spacing w:val="-4"/>
          <w:rtl/>
        </w:rPr>
      </w:pPr>
      <w:r w:rsidRPr="00636ACF">
        <w:rPr>
          <w:rFonts w:hint="cs"/>
          <w:rtl/>
        </w:rPr>
        <w:t xml:space="preserve">אם מקורו של עיקרון זה במשפטי העמים הוא בתפיסה שעל הצדק להיראות, כי אז יש לראות כעתיק יותר את הצו </w:t>
      </w:r>
      <w:r w:rsidRPr="00F33F81">
        <w:rPr>
          <w:rStyle w:val="HTMLCite"/>
          <w:rFonts w:hint="cs"/>
          <w:i w:val="0"/>
          <w:iCs w:val="0"/>
          <w:rtl/>
        </w:rPr>
        <w:t>המקראי</w:t>
      </w:r>
      <w:r w:rsidRPr="00636ACF">
        <w:rPr>
          <w:rFonts w:hint="cs"/>
          <w:rtl/>
        </w:rPr>
        <w:t xml:space="preserve">: "והייתם נקיים מה' ומישראל" (במדבר לב, </w:t>
      </w:r>
      <w:proofErr w:type="spellStart"/>
      <w:r w:rsidRPr="00636ACF">
        <w:rPr>
          <w:rFonts w:hint="cs"/>
          <w:rtl/>
        </w:rPr>
        <w:t>כב</w:t>
      </w:r>
      <w:proofErr w:type="spellEnd"/>
      <w:r w:rsidRPr="00636ACF">
        <w:rPr>
          <w:rFonts w:hint="cs"/>
          <w:rtl/>
        </w:rPr>
        <w:t>) ואף על פי שאין צו זה מתייחס במקורו למהלך הדין, הנה הוא התקבל במשפט העברי כעיקרון שלפיו מוטלת חובה על כל אדם, ובפרט על נושאי תפקידים שיפוטיים וציבוריים, להסיר מעצמם כל חשד העלול לדבוק בהם. אם מקובלת כיום התפיסה, שחשאיות הדיון יש בה כדי להחשיד את השופט בהטיית הדין, הרי שעל הדיינים לנהל את המשפט בפומבי כדי למנוע חשד זה.</w:t>
      </w:r>
      <w:r w:rsidRPr="00636ACF">
        <w:rPr>
          <w:rStyle w:val="a5"/>
          <w:rtl/>
        </w:rPr>
        <w:footnoteReference w:id="7"/>
      </w:r>
    </w:p>
    <w:p w:rsidR="00282850" w:rsidRDefault="00312FDA" w:rsidP="00312FDA">
      <w:pPr>
        <w:rPr>
          <w:spacing w:val="-4"/>
          <w:rtl/>
        </w:rPr>
      </w:pPr>
      <w:r>
        <w:rPr>
          <w:rFonts w:hint="cs"/>
          <w:spacing w:val="-4"/>
          <w:rtl/>
        </w:rPr>
        <w:t xml:space="preserve">ואף על פי כן, </w:t>
      </w:r>
      <w:proofErr w:type="spellStart"/>
      <w:r>
        <w:rPr>
          <w:rFonts w:hint="cs"/>
          <w:spacing w:val="-4"/>
          <w:rtl/>
        </w:rPr>
        <w:t>שוחטמן</w:t>
      </w:r>
      <w:proofErr w:type="spellEnd"/>
      <w:r>
        <w:rPr>
          <w:rFonts w:hint="cs"/>
          <w:spacing w:val="-4"/>
          <w:rtl/>
        </w:rPr>
        <w:t xml:space="preserve"> מודה ש</w:t>
      </w:r>
      <w:r w:rsidRPr="00636ACF">
        <w:rPr>
          <w:rFonts w:hint="cs"/>
          <w:spacing w:val="-4"/>
          <w:rtl/>
        </w:rPr>
        <w:t>"אין למצוא, לא במקורות הקדומים ולא בהלכה הפסוקה בשולחן ערוך הוראה עקרונית בעניין פומביות הדיון"</w:t>
      </w:r>
      <w:r>
        <w:rPr>
          <w:rFonts w:hint="cs"/>
          <w:spacing w:val="-4"/>
          <w:rtl/>
        </w:rPr>
        <w:t>.</w:t>
      </w:r>
      <w:r w:rsidRPr="00636ACF">
        <w:rPr>
          <w:rStyle w:val="a5"/>
          <w:spacing w:val="-4"/>
          <w:rtl/>
        </w:rPr>
        <w:footnoteReference w:id="8"/>
      </w:r>
    </w:p>
    <w:p w:rsidR="00484DFD" w:rsidRDefault="00484DFD" w:rsidP="00E16D79">
      <w:pPr>
        <w:pStyle w:val="10"/>
        <w:rPr>
          <w:rtl/>
        </w:rPr>
      </w:pPr>
      <w:r>
        <w:rPr>
          <w:rFonts w:hint="cs"/>
          <w:rtl/>
        </w:rPr>
        <w:t>דיון בדלתיים סגורות</w:t>
      </w:r>
    </w:p>
    <w:p w:rsidR="00AB65E2" w:rsidRPr="00636ACF" w:rsidRDefault="002773FE" w:rsidP="002773FE">
      <w:pPr>
        <w:rPr>
          <w:rtl/>
        </w:rPr>
      </w:pPr>
      <w:r w:rsidRPr="0021275E">
        <w:rPr>
          <w:rFonts w:hint="cs"/>
          <w:spacing w:val="-4"/>
          <w:rtl/>
        </w:rPr>
        <w:t xml:space="preserve">כנגד הצורך להבטיח את שקיפותו של ההליך המשפטי עומדת לעיתים זכותם של בעלי הדין לפרטיות. את המתח שבין שני העקרונות פתרו קבילות ישראל בדרכים שונות. כך למשל, </w:t>
      </w:r>
      <w:r w:rsidR="00AB65E2" w:rsidRPr="0021275E">
        <w:rPr>
          <w:rFonts w:hint="cs"/>
          <w:spacing w:val="-4"/>
          <w:rtl/>
        </w:rPr>
        <w:t xml:space="preserve">בקהילת </w:t>
      </w:r>
      <w:proofErr w:type="spellStart"/>
      <w:r w:rsidR="00AB65E2" w:rsidRPr="0021275E">
        <w:rPr>
          <w:rFonts w:hint="cs"/>
          <w:spacing w:val="-4"/>
          <w:rtl/>
        </w:rPr>
        <w:t>פיורדא</w:t>
      </w:r>
      <w:proofErr w:type="spellEnd"/>
      <w:r w:rsidR="00AB65E2" w:rsidRPr="0021275E">
        <w:rPr>
          <w:rFonts w:hint="cs"/>
          <w:spacing w:val="-4"/>
          <w:rtl/>
        </w:rPr>
        <w:t xml:space="preserve">, </w:t>
      </w:r>
      <w:r w:rsidRPr="0021275E">
        <w:rPr>
          <w:rFonts w:hint="cs"/>
          <w:spacing w:val="-4"/>
          <w:rtl/>
        </w:rPr>
        <w:t>ל</w:t>
      </w:r>
      <w:r w:rsidR="00AB65E2" w:rsidRPr="0021275E">
        <w:rPr>
          <w:rFonts w:hint="cs"/>
          <w:spacing w:val="-4"/>
          <w:rtl/>
        </w:rPr>
        <w:t xml:space="preserve">פני כמאתיים ושלושים שנים, נקבעה תקנה </w:t>
      </w:r>
      <w:r w:rsidRPr="0021275E">
        <w:rPr>
          <w:rFonts w:hint="cs"/>
          <w:spacing w:val="-4"/>
          <w:rtl/>
        </w:rPr>
        <w:t xml:space="preserve">גורפת, </w:t>
      </w:r>
      <w:r w:rsidR="00AB65E2" w:rsidRPr="0021275E">
        <w:rPr>
          <w:rFonts w:hint="cs"/>
          <w:spacing w:val="-4"/>
          <w:rtl/>
        </w:rPr>
        <w:t xml:space="preserve">המחייבת את הדיינים לנהל דיונים בדלתיים סגורות </w:t>
      </w:r>
      <w:r w:rsidR="00AB65E2" w:rsidRPr="0021275E">
        <w:rPr>
          <w:rFonts w:hint="cs"/>
          <w:spacing w:val="-4"/>
          <w:rtl/>
        </w:rPr>
        <w:lastRenderedPageBreak/>
        <w:t>"למען לא יטרדו, להיות מתונים בדין כראוי ונכון",</w:t>
      </w:r>
      <w:r w:rsidR="00AB65E2" w:rsidRPr="0021275E">
        <w:rPr>
          <w:rStyle w:val="a5"/>
          <w:spacing w:val="-4"/>
          <w:rtl/>
        </w:rPr>
        <w:footnoteReference w:id="9"/>
      </w:r>
      <w:r w:rsidR="00AB65E2" w:rsidRPr="0021275E">
        <w:rPr>
          <w:rFonts w:hint="cs"/>
          <w:spacing w:val="-4"/>
          <w:rtl/>
        </w:rPr>
        <w:t xml:space="preserve"> ומשום ש"לפעמים </w:t>
      </w:r>
      <w:proofErr w:type="spellStart"/>
      <w:r w:rsidR="00AB65E2" w:rsidRPr="0021275E">
        <w:rPr>
          <w:rFonts w:hint="cs"/>
          <w:spacing w:val="-4"/>
          <w:rtl/>
        </w:rPr>
        <w:t>יפגיעו</w:t>
      </w:r>
      <w:proofErr w:type="spellEnd"/>
      <w:r w:rsidR="00AB65E2" w:rsidRPr="0021275E">
        <w:rPr>
          <w:rFonts w:hint="cs"/>
          <w:spacing w:val="-4"/>
          <w:rtl/>
        </w:rPr>
        <w:t xml:space="preserve"> הצדדים זה לעומת זה בדברי ריבות בלתי נכוחים... אשר נכון להסתיר הדברים ולהצפינם מכל וכל</w:t>
      </w:r>
      <w:r w:rsidR="00AB65E2" w:rsidRPr="00636ACF">
        <w:rPr>
          <w:rFonts w:hint="cs"/>
          <w:rtl/>
        </w:rPr>
        <w:t>".</w:t>
      </w:r>
      <w:r w:rsidR="00AB65E2" w:rsidRPr="00636ACF">
        <w:rPr>
          <w:rStyle w:val="a5"/>
          <w:rtl/>
        </w:rPr>
        <w:footnoteReference w:id="10"/>
      </w:r>
    </w:p>
    <w:p w:rsidR="00AB65E2" w:rsidRPr="00636ACF" w:rsidRDefault="0021275E" w:rsidP="0021275E">
      <w:pPr>
        <w:rPr>
          <w:rtl/>
        </w:rPr>
      </w:pPr>
      <w:r>
        <w:rPr>
          <w:rFonts w:hint="cs"/>
          <w:rtl/>
        </w:rPr>
        <w:t>גרסה מרוככת מעט של תקנה זו מצויה ב</w:t>
      </w:r>
      <w:r w:rsidR="00AB65E2" w:rsidRPr="00636ACF">
        <w:rPr>
          <w:rFonts w:hint="cs"/>
          <w:rtl/>
        </w:rPr>
        <w:t xml:space="preserve">תקנה נב של תקנות הדיון בבתי הדין הרבניים בישראל, </w:t>
      </w:r>
      <w:proofErr w:type="spellStart"/>
      <w:r w:rsidR="00AB65E2" w:rsidRPr="00636ACF">
        <w:rPr>
          <w:rFonts w:hint="cs"/>
          <w:rtl/>
        </w:rPr>
        <w:t>התשנ"ג</w:t>
      </w:r>
      <w:proofErr w:type="spellEnd"/>
      <w:r w:rsidR="00AB65E2" w:rsidRPr="00636ACF">
        <w:rPr>
          <w:rFonts w:hint="cs"/>
          <w:rtl/>
        </w:rPr>
        <w:t xml:space="preserve">, </w:t>
      </w:r>
      <w:r>
        <w:rPr>
          <w:rFonts w:hint="cs"/>
          <w:rtl/>
        </w:rPr>
        <w:t>הקובעת ש</w:t>
      </w:r>
      <w:r w:rsidR="00AB65E2" w:rsidRPr="00636ACF">
        <w:rPr>
          <w:rFonts w:hint="cs"/>
          <w:rtl/>
        </w:rPr>
        <w:t>"</w:t>
      </w:r>
      <w:r w:rsidR="00AB65E2" w:rsidRPr="00636ACF">
        <w:rPr>
          <w:rtl/>
        </w:rPr>
        <w:t>הדיון בענייני משפחה ובבקשות לגיור מתנהל בדלתיים סגורות, ובשאר העניינים – בדלתיים פתוחות, אלא אם בית-הדין הורה אחרת</w:t>
      </w:r>
      <w:r w:rsidR="00AB65E2" w:rsidRPr="00636ACF">
        <w:rPr>
          <w:rFonts w:hint="cs"/>
          <w:rtl/>
        </w:rPr>
        <w:t>...".</w:t>
      </w:r>
      <w:r w:rsidR="00AB65E2" w:rsidRPr="00636ACF">
        <w:rPr>
          <w:rStyle w:val="a5"/>
          <w:rtl/>
        </w:rPr>
        <w:footnoteReference w:id="11"/>
      </w:r>
    </w:p>
    <w:p w:rsidR="005B1AE7" w:rsidRDefault="00E16D79" w:rsidP="00E16D79">
      <w:pPr>
        <w:pStyle w:val="10"/>
        <w:rPr>
          <w:rtl/>
        </w:rPr>
      </w:pPr>
      <w:r w:rsidRPr="00E16D79">
        <w:rPr>
          <w:rFonts w:hint="cs"/>
          <w:rtl/>
        </w:rPr>
        <w:t>פרסום פסקי הדין</w:t>
      </w:r>
    </w:p>
    <w:p w:rsidR="00E16D79" w:rsidRDefault="00484DFD" w:rsidP="00484DFD">
      <w:pPr>
        <w:rPr>
          <w:rtl/>
        </w:rPr>
      </w:pPr>
      <w:r>
        <w:rPr>
          <w:rStyle w:val="HTMLCite"/>
          <w:rFonts w:hint="cs"/>
          <w:i w:val="0"/>
          <w:iCs w:val="0"/>
          <w:rtl/>
        </w:rPr>
        <w:t xml:space="preserve">כאמור, אחד מהיבטיו החשובים של עיקרון פומביות הדיון קשור לחובתו של השופט לפרסם ברבים את פסיקתו. </w:t>
      </w:r>
      <w:r w:rsidRPr="00636ACF">
        <w:rPr>
          <w:rStyle w:val="HTMLCite"/>
          <w:rFonts w:hint="cs"/>
          <w:i w:val="0"/>
          <w:iCs w:val="0"/>
          <w:rtl/>
        </w:rPr>
        <w:t xml:space="preserve">פרסום פסיקותיהם של בתי הדין מקדם גם את העמקת הבנתה של ההלכה בכל שדרות העם ופיתוחה. ערך זה נשען על הפסוק "ה' חפץ למען צדקו, יגדיל תורה ויאדיר" (ישעיהו </w:t>
      </w:r>
      <w:proofErr w:type="spellStart"/>
      <w:r w:rsidRPr="00636ACF">
        <w:rPr>
          <w:rStyle w:val="HTMLCite"/>
          <w:rFonts w:hint="cs"/>
          <w:i w:val="0"/>
          <w:iCs w:val="0"/>
          <w:rtl/>
        </w:rPr>
        <w:t>מב</w:t>
      </w:r>
      <w:proofErr w:type="spellEnd"/>
      <w:r w:rsidRPr="00636ACF">
        <w:rPr>
          <w:rStyle w:val="HTMLCite"/>
          <w:rFonts w:hint="cs"/>
          <w:i w:val="0"/>
          <w:iCs w:val="0"/>
          <w:rtl/>
        </w:rPr>
        <w:t xml:space="preserve">, </w:t>
      </w:r>
      <w:proofErr w:type="spellStart"/>
      <w:r w:rsidRPr="00636ACF">
        <w:rPr>
          <w:rStyle w:val="HTMLCite"/>
          <w:rFonts w:hint="cs"/>
          <w:i w:val="0"/>
          <w:iCs w:val="0"/>
          <w:rtl/>
        </w:rPr>
        <w:t>כא</w:t>
      </w:r>
      <w:proofErr w:type="spellEnd"/>
      <w:r w:rsidRPr="00636ACF">
        <w:rPr>
          <w:rStyle w:val="HTMLCite"/>
          <w:rFonts w:hint="cs"/>
          <w:i w:val="0"/>
          <w:iCs w:val="0"/>
          <w:rtl/>
        </w:rPr>
        <w:t>).</w:t>
      </w:r>
      <w:r w:rsidRPr="00636ACF">
        <w:rPr>
          <w:rStyle w:val="a5"/>
          <w:rtl/>
        </w:rPr>
        <w:footnoteReference w:id="12"/>
      </w:r>
      <w:r w:rsidRPr="00636ACF">
        <w:rPr>
          <w:rStyle w:val="HTMLCite"/>
          <w:rFonts w:hint="cs"/>
          <w:i w:val="0"/>
          <w:iCs w:val="0"/>
          <w:rtl/>
        </w:rPr>
        <w:t xml:space="preserve"> כך למשל, </w:t>
      </w:r>
      <w:r w:rsidRPr="00636ACF">
        <w:rPr>
          <w:rFonts w:hint="cs"/>
          <w:rtl/>
        </w:rPr>
        <w:t>בעקבות ה</w:t>
      </w:r>
      <w:r>
        <w:rPr>
          <w:rFonts w:hint="cs"/>
          <w:rtl/>
        </w:rPr>
        <w:t>ו</w:t>
      </w:r>
      <w:r w:rsidRPr="00636ACF">
        <w:rPr>
          <w:rFonts w:hint="cs"/>
          <w:rtl/>
        </w:rPr>
        <w:t>ויכוח הציבורי שהתנהל בארץ בשלהי שנות הארבעים ותחילת שנות החמישים בדבר זכות הבחירה לנשים, פרסם הרב עוזיאל, הראשון לציון ורבה הראשי של ארץ ישראל תשובה בנושא זה, המצדדת בהכרה בזכותן ההלכתית של נשים לבחור ולהיבחר. את תשובתו בעניין זה פותח הרב עוזיאל בהצהרה: "תשובה זו כתבתי בשעתה לשם ברור הלכה לעצמי, ולא רציתי לפרסמה ולהורות בשאלה זאת הלכה למעשה. אולם עתה, אחרי ששאלה זאת נפתרה מאליה,</w:t>
      </w:r>
      <w:r w:rsidRPr="00636ACF">
        <w:rPr>
          <w:rFonts w:hint="cs"/>
          <w:b/>
          <w:bCs/>
          <w:rtl/>
        </w:rPr>
        <w:t xml:space="preserve"> מצאתי לטוב לפרסמה משום יגדיל תורה</w:t>
      </w:r>
      <w:r w:rsidRPr="00636ACF">
        <w:rPr>
          <w:rFonts w:hint="cs"/>
          <w:rtl/>
        </w:rPr>
        <w:t>.</w:t>
      </w:r>
      <w:r w:rsidRPr="00636ACF">
        <w:rPr>
          <w:rStyle w:val="a5"/>
          <w:rtl/>
        </w:rPr>
        <w:footnoteReference w:id="13"/>
      </w:r>
    </w:p>
    <w:p w:rsidR="0021275E" w:rsidRDefault="000E3773" w:rsidP="00484DFD">
      <w:pPr>
        <w:rPr>
          <w:rtl/>
        </w:rPr>
      </w:pPr>
      <w:r>
        <w:rPr>
          <w:rFonts w:hint="cs"/>
          <w:rtl/>
        </w:rPr>
        <w:t>עם זאת, לא אחת נמנעו הפוסקים מפרסום פסיקתם, מטעמים שונים, כמבואר להלן:</w:t>
      </w:r>
    </w:p>
    <w:p w:rsidR="000E3773" w:rsidRDefault="00391A5C" w:rsidP="000E3773">
      <w:pPr>
        <w:pStyle w:val="2"/>
        <w:rPr>
          <w:rtl/>
        </w:rPr>
      </w:pPr>
      <w:r>
        <w:rPr>
          <w:rFonts w:hint="cs"/>
          <w:rtl/>
        </w:rPr>
        <w:t>צנעת הפרט</w:t>
      </w:r>
    </w:p>
    <w:p w:rsidR="0021275E" w:rsidRDefault="00391A5C" w:rsidP="008105F9">
      <w:pPr>
        <w:rPr>
          <w:spacing w:val="-4"/>
          <w:rtl/>
        </w:rPr>
      </w:pPr>
      <w:r>
        <w:rPr>
          <w:rFonts w:hint="cs"/>
          <w:spacing w:val="-4"/>
          <w:rtl/>
        </w:rPr>
        <w:t xml:space="preserve">כאמור לעיל, צנעת הפרט הייתה עילה לסגירת דלתות בתי הדין בישראל בדיונים העוסקים בענייני גיור ומשפחה. </w:t>
      </w:r>
      <w:r w:rsidR="008105F9">
        <w:rPr>
          <w:rFonts w:hint="cs"/>
          <w:spacing w:val="-4"/>
          <w:rtl/>
        </w:rPr>
        <w:t xml:space="preserve">ואולם, </w:t>
      </w:r>
      <w:r w:rsidR="0021275E" w:rsidRPr="00636ACF">
        <w:rPr>
          <w:rFonts w:hint="cs"/>
          <w:spacing w:val="-4"/>
          <w:rtl/>
        </w:rPr>
        <w:t>בית הדין הרבני הגדול</w:t>
      </w:r>
      <w:r w:rsidR="008105F9">
        <w:rPr>
          <w:rFonts w:hint="cs"/>
          <w:spacing w:val="-4"/>
          <w:rtl/>
        </w:rPr>
        <w:t xml:space="preserve"> נתן לעיקרון סגירת הדלתות פרשנות רחבה, ולפיה, </w:t>
      </w:r>
      <w:r w:rsidR="0021275E" w:rsidRPr="00636ACF">
        <w:rPr>
          <w:rFonts w:hint="cs"/>
          <w:spacing w:val="-4"/>
          <w:rtl/>
        </w:rPr>
        <w:t>"המשמעות של "סגירת דלתות" אינה רק טכנית, אלא גם מהותית: מניעת הדלפות מדיוני בית הדין"</w:t>
      </w:r>
      <w:r w:rsidR="008105F9">
        <w:rPr>
          <w:rFonts w:hint="cs"/>
          <w:spacing w:val="-4"/>
          <w:rtl/>
        </w:rPr>
        <w:t>.</w:t>
      </w:r>
      <w:r w:rsidR="0021275E" w:rsidRPr="00636ACF">
        <w:rPr>
          <w:rStyle w:val="a5"/>
          <w:spacing w:val="-4"/>
          <w:rtl/>
        </w:rPr>
        <w:footnoteReference w:id="14"/>
      </w:r>
      <w:r w:rsidR="0021275E" w:rsidRPr="00636ACF">
        <w:rPr>
          <w:rFonts w:hint="cs"/>
          <w:spacing w:val="-4"/>
          <w:rtl/>
        </w:rPr>
        <w:t xml:space="preserve"> </w:t>
      </w:r>
      <w:r w:rsidR="008105F9">
        <w:rPr>
          <w:rFonts w:hint="cs"/>
          <w:spacing w:val="-4"/>
          <w:rtl/>
        </w:rPr>
        <w:t>בהתאם לכך, בית הדין קבע שאין לקבל את הסכמת הצדדים לפרסומו של פסק הדין, מקום בו הפרסום עלול לפגוע בצנעת הפרט.</w:t>
      </w:r>
      <w:r w:rsidR="0021275E" w:rsidRPr="00636ACF">
        <w:rPr>
          <w:rStyle w:val="a5"/>
          <w:rtl/>
        </w:rPr>
        <w:footnoteReference w:id="15"/>
      </w:r>
    </w:p>
    <w:p w:rsidR="008105F9" w:rsidRDefault="008105F9" w:rsidP="008105F9">
      <w:pPr>
        <w:rPr>
          <w:rtl/>
        </w:rPr>
      </w:pPr>
      <w:r>
        <w:rPr>
          <w:rFonts w:hint="cs"/>
          <w:rtl/>
        </w:rPr>
        <w:t>ואמנם, ספרות ההלכה משופעת בדוגמאות להשמטתם של פסקי דין או פרסום חלקי שלהם, מתוך שיקולים של הגנה על צנעת הפרט.</w:t>
      </w:r>
      <w:bookmarkStart w:id="2" w:name="_Ref395538052"/>
      <w:r>
        <w:rPr>
          <w:rStyle w:val="a5"/>
          <w:rtl/>
        </w:rPr>
        <w:footnoteReference w:id="16"/>
      </w:r>
      <w:bookmarkEnd w:id="2"/>
    </w:p>
    <w:p w:rsidR="00E60898" w:rsidRDefault="00E60898" w:rsidP="00E60898">
      <w:pPr>
        <w:pStyle w:val="2"/>
        <w:rPr>
          <w:rtl/>
        </w:rPr>
      </w:pPr>
      <w:r>
        <w:rPr>
          <w:rFonts w:hint="cs"/>
          <w:rtl/>
        </w:rPr>
        <w:lastRenderedPageBreak/>
        <w:t>כבודם של הדיינים</w:t>
      </w:r>
    </w:p>
    <w:p w:rsidR="005958F2" w:rsidRDefault="005958F2" w:rsidP="005958F2">
      <w:pPr>
        <w:rPr>
          <w:rtl/>
        </w:rPr>
      </w:pPr>
      <w:r>
        <w:rPr>
          <w:rFonts w:hint="cs"/>
          <w:spacing w:val="-4"/>
          <w:rtl/>
        </w:rPr>
        <w:t>המשנה אסרה על הדיין ל</w:t>
      </w:r>
      <w:r>
        <w:rPr>
          <w:rFonts w:hint="cs"/>
          <w:rtl/>
        </w:rPr>
        <w:t xml:space="preserve">גלות את זהותם של המזכים והמחייבים בדין </w:t>
      </w:r>
      <w:r>
        <w:rPr>
          <w:rtl/>
        </w:rPr>
        <w:t>–</w:t>
      </w:r>
      <w:r>
        <w:rPr>
          <w:rFonts w:hint="cs"/>
          <w:rtl/>
        </w:rPr>
        <w:t xml:space="preserve"> </w:t>
      </w:r>
    </w:p>
    <w:p w:rsidR="005958F2" w:rsidRPr="005958F2" w:rsidRDefault="005958F2" w:rsidP="00094282">
      <w:pPr>
        <w:ind w:left="567" w:right="567"/>
        <w:rPr>
          <w:spacing w:val="-4"/>
          <w:rtl/>
        </w:rPr>
      </w:pPr>
      <w:r w:rsidRPr="00094282">
        <w:rPr>
          <w:spacing w:val="2"/>
          <w:rtl/>
        </w:rPr>
        <w:t xml:space="preserve">לכשיצא אחד מן הדיינים לא יאמר אני מזכה </w:t>
      </w:r>
      <w:proofErr w:type="spellStart"/>
      <w:r w:rsidRPr="00094282">
        <w:rPr>
          <w:spacing w:val="2"/>
          <w:rtl/>
        </w:rPr>
        <w:t>וחבירי</w:t>
      </w:r>
      <w:proofErr w:type="spellEnd"/>
      <w:r w:rsidRPr="00094282">
        <w:rPr>
          <w:spacing w:val="2"/>
          <w:rtl/>
        </w:rPr>
        <w:t xml:space="preserve"> </w:t>
      </w:r>
      <w:proofErr w:type="spellStart"/>
      <w:r w:rsidRPr="00094282">
        <w:rPr>
          <w:spacing w:val="2"/>
          <w:rtl/>
        </w:rPr>
        <w:t>מחייבין</w:t>
      </w:r>
      <w:proofErr w:type="spellEnd"/>
      <w:r w:rsidRPr="00094282">
        <w:rPr>
          <w:spacing w:val="2"/>
          <w:rtl/>
        </w:rPr>
        <w:t xml:space="preserve"> אבל מה אעשה </w:t>
      </w:r>
      <w:proofErr w:type="spellStart"/>
      <w:r w:rsidRPr="00094282">
        <w:rPr>
          <w:spacing w:val="2"/>
          <w:rtl/>
        </w:rPr>
        <w:t>שחבירי</w:t>
      </w:r>
      <w:proofErr w:type="spellEnd"/>
      <w:r w:rsidRPr="00094282">
        <w:rPr>
          <w:spacing w:val="2"/>
          <w:rtl/>
        </w:rPr>
        <w:t xml:space="preserve"> רבו עלי</w:t>
      </w:r>
      <w:r w:rsidRPr="00094282">
        <w:rPr>
          <w:rFonts w:hint="cs"/>
          <w:spacing w:val="2"/>
          <w:rtl/>
        </w:rPr>
        <w:t>.</w:t>
      </w:r>
      <w:r w:rsidRPr="00094282">
        <w:rPr>
          <w:spacing w:val="2"/>
          <w:rtl/>
        </w:rPr>
        <w:t xml:space="preserve"> על זה נאמר (ויקרא </w:t>
      </w:r>
      <w:proofErr w:type="spellStart"/>
      <w:r w:rsidRPr="00094282">
        <w:rPr>
          <w:spacing w:val="2"/>
          <w:rtl/>
        </w:rPr>
        <w:t>יט</w:t>
      </w:r>
      <w:proofErr w:type="spellEnd"/>
      <w:r w:rsidRPr="00094282">
        <w:rPr>
          <w:spacing w:val="2"/>
          <w:rtl/>
        </w:rPr>
        <w:t>) לא תלך רכיל בעמך ואומר (משלי יא) הולך רכיל מגלה סוד</w:t>
      </w:r>
      <w:r w:rsidR="00094282">
        <w:rPr>
          <w:rFonts w:hint="cs"/>
          <w:spacing w:val="-4"/>
          <w:rtl/>
        </w:rPr>
        <w:t>.</w:t>
      </w:r>
      <w:r w:rsidR="00094282">
        <w:rPr>
          <w:rStyle w:val="a5"/>
          <w:spacing w:val="-4"/>
          <w:rtl/>
        </w:rPr>
        <w:footnoteReference w:id="17"/>
      </w:r>
      <w:r w:rsidRPr="005958F2">
        <w:rPr>
          <w:spacing w:val="-4"/>
          <w:rtl/>
        </w:rPr>
        <w:t xml:space="preserve"> </w:t>
      </w:r>
    </w:p>
    <w:p w:rsidR="00D53D27" w:rsidRPr="00FE3BA9" w:rsidRDefault="00FE3BA9" w:rsidP="00FE3BA9">
      <w:pPr>
        <w:rPr>
          <w:spacing w:val="-4"/>
        </w:rPr>
      </w:pPr>
      <w:r>
        <w:rPr>
          <w:rFonts w:hint="cs"/>
          <w:spacing w:val="-4"/>
          <w:rtl/>
        </w:rPr>
        <w:t xml:space="preserve">לעיתים, החשש מפני פגיעה בכבודם של הפוסקים הוביל להשמטתן המוחלטת של תשובות מספרות התשובות. </w:t>
      </w:r>
      <w:r w:rsidR="00D53D27" w:rsidRPr="00FE3BA9">
        <w:rPr>
          <w:rFonts w:hint="cs"/>
          <w:spacing w:val="-4"/>
          <w:rtl/>
        </w:rPr>
        <w:t xml:space="preserve">כך למשל, החוקרים מצאו שרבי משה סופר, </w:t>
      </w:r>
      <w:proofErr w:type="spellStart"/>
      <w:r w:rsidR="00D53D27" w:rsidRPr="00FE3BA9">
        <w:rPr>
          <w:rFonts w:hint="cs"/>
          <w:spacing w:val="-4"/>
          <w:rtl/>
        </w:rPr>
        <w:t>החת"ם</w:t>
      </w:r>
      <w:proofErr w:type="spellEnd"/>
      <w:r w:rsidR="00D53D27" w:rsidRPr="00FE3BA9">
        <w:rPr>
          <w:rFonts w:hint="cs"/>
          <w:spacing w:val="-4"/>
          <w:rtl/>
        </w:rPr>
        <w:t xml:space="preserve"> סופר, החליף מכתבים בדברי תורה עם שלמה יהודה ליב הכהן רפפורט (</w:t>
      </w:r>
      <w:proofErr w:type="spellStart"/>
      <w:r w:rsidR="00D53D27" w:rsidRPr="00FE3BA9">
        <w:rPr>
          <w:rFonts w:hint="cs"/>
          <w:spacing w:val="-4"/>
          <w:rtl/>
        </w:rPr>
        <w:t>שי"ר</w:t>
      </w:r>
      <w:proofErr w:type="spellEnd"/>
      <w:r w:rsidR="00D53D27" w:rsidRPr="00FE3BA9">
        <w:rPr>
          <w:rFonts w:hint="cs"/>
          <w:spacing w:val="-4"/>
          <w:rtl/>
        </w:rPr>
        <w:t xml:space="preserve">). </w:t>
      </w:r>
      <w:r>
        <w:rPr>
          <w:rFonts w:hint="cs"/>
          <w:spacing w:val="-4"/>
          <w:rtl/>
        </w:rPr>
        <w:t>ה</w:t>
      </w:r>
      <w:r w:rsidR="00D53D27" w:rsidRPr="00FE3BA9">
        <w:rPr>
          <w:rFonts w:hint="cs"/>
          <w:spacing w:val="-4"/>
          <w:rtl/>
        </w:rPr>
        <w:t>מכתבים הודפסו בקבצים שונים, אך אין להם זכר ב</w:t>
      </w:r>
      <w:r>
        <w:rPr>
          <w:rFonts w:hint="cs"/>
          <w:spacing w:val="-4"/>
          <w:rtl/>
        </w:rPr>
        <w:t xml:space="preserve">ספר תשובותיו של החתם סופר, </w:t>
      </w:r>
      <w:r w:rsidR="00D53D27" w:rsidRPr="00FE3BA9">
        <w:rPr>
          <w:rFonts w:hint="cs"/>
          <w:spacing w:val="-4"/>
          <w:rtl/>
        </w:rPr>
        <w:t>שו"ת חתם סופר</w:t>
      </w:r>
      <w:r>
        <w:rPr>
          <w:rFonts w:hint="cs"/>
          <w:spacing w:val="-4"/>
          <w:rtl/>
        </w:rPr>
        <w:t>, כנראה משום שה</w:t>
      </w:r>
      <w:r w:rsidR="00D53D27" w:rsidRPr="00FE3BA9">
        <w:rPr>
          <w:rFonts w:hint="cs"/>
          <w:spacing w:val="-4"/>
          <w:rtl/>
        </w:rPr>
        <w:t xml:space="preserve">מדפיסים חששו שמן התשובות ישתמע שלחת"ם סופר היו קשרים חמים עם תנועת ההשכלה, </w:t>
      </w:r>
      <w:proofErr w:type="spellStart"/>
      <w:r w:rsidR="00D53D27" w:rsidRPr="00FE3BA9">
        <w:rPr>
          <w:rFonts w:hint="cs"/>
          <w:spacing w:val="-4"/>
          <w:rtl/>
        </w:rPr>
        <w:t>ששי"ר</w:t>
      </w:r>
      <w:proofErr w:type="spellEnd"/>
      <w:r w:rsidR="00D53D27" w:rsidRPr="00FE3BA9">
        <w:rPr>
          <w:rFonts w:hint="cs"/>
          <w:spacing w:val="-4"/>
          <w:rtl/>
        </w:rPr>
        <w:t xml:space="preserve"> היה מראשיה.</w:t>
      </w:r>
      <w:r>
        <w:rPr>
          <w:rStyle w:val="a5"/>
          <w:spacing w:val="-4"/>
          <w:rtl/>
        </w:rPr>
        <w:footnoteReference w:id="18"/>
      </w:r>
    </w:p>
    <w:p w:rsidR="00E16D79" w:rsidRPr="006076CE" w:rsidRDefault="006076CE" w:rsidP="006076CE">
      <w:pPr>
        <w:pStyle w:val="2"/>
        <w:rPr>
          <w:rtl/>
        </w:rPr>
      </w:pPr>
      <w:r w:rsidRPr="006076CE">
        <w:rPr>
          <w:rFonts w:hint="cs"/>
          <w:rtl/>
        </w:rPr>
        <w:t xml:space="preserve">שיקולי מדיניות </w:t>
      </w:r>
    </w:p>
    <w:p w:rsidR="006076CE" w:rsidRDefault="006076CE" w:rsidP="006076CE">
      <w:pPr>
        <w:rPr>
          <w:spacing w:val="-4"/>
          <w:rtl/>
        </w:rPr>
      </w:pPr>
      <w:r>
        <w:rPr>
          <w:rFonts w:hint="cs"/>
          <w:spacing w:val="-4"/>
          <w:rtl/>
        </w:rPr>
        <w:t xml:space="preserve">לעיתים, שיקולי מדיניות שנבעו מן החשש שמא הפסיקה לא תתפרש כהלכה ותיצור תקלה ציבורית הובילו להשמטתה של הפסיקה מספרי הפסיקה שהודפסו. </w:t>
      </w:r>
    </w:p>
    <w:p w:rsidR="00F171A5" w:rsidRDefault="00F171A5" w:rsidP="00F171A5">
      <w:pPr>
        <w:rPr>
          <w:rtl/>
        </w:rPr>
      </w:pPr>
      <w:r w:rsidRPr="00FA7269">
        <w:rPr>
          <w:rFonts w:hint="cs"/>
          <w:rtl/>
        </w:rPr>
        <w:t xml:space="preserve">כך למשל, </w:t>
      </w:r>
      <w:proofErr w:type="spellStart"/>
      <w:r>
        <w:rPr>
          <w:rFonts w:hint="cs"/>
          <w:rtl/>
        </w:rPr>
        <w:t>רד"צ</w:t>
      </w:r>
      <w:proofErr w:type="spellEnd"/>
      <w:r>
        <w:rPr>
          <w:rFonts w:hint="cs"/>
          <w:rtl/>
        </w:rPr>
        <w:t xml:space="preserve"> הופמן </w:t>
      </w:r>
      <w:r w:rsidRPr="00FA7269">
        <w:rPr>
          <w:rFonts w:hint="cs"/>
          <w:rtl/>
        </w:rPr>
        <w:t xml:space="preserve">התיר להישבע בערכאות בגילוי ראש, ואף הביא בתשובתו את מנהג פרנקפורט על פי הנהגת </w:t>
      </w:r>
      <w:proofErr w:type="spellStart"/>
      <w:r w:rsidRPr="00FA7269">
        <w:rPr>
          <w:rFonts w:hint="cs"/>
          <w:rtl/>
        </w:rPr>
        <w:t>רש"ר</w:t>
      </w:r>
      <w:proofErr w:type="spellEnd"/>
      <w:r w:rsidRPr="00FA7269">
        <w:rPr>
          <w:rFonts w:hint="cs"/>
          <w:rtl/>
        </w:rPr>
        <w:t xml:space="preserve"> הירש, ש"בבית החינוך... יושבים התלמידים בפריעת ראש". תשובה זו </w:t>
      </w:r>
      <w:r>
        <w:rPr>
          <w:rFonts w:hint="cs"/>
          <w:rtl/>
        </w:rPr>
        <w:t>הודפסה ב</w:t>
      </w:r>
      <w:r w:rsidRPr="00FA7269">
        <w:rPr>
          <w:rFonts w:hint="cs"/>
          <w:rtl/>
        </w:rPr>
        <w:t xml:space="preserve">הוצאות הראשונות של </w:t>
      </w:r>
      <w:r>
        <w:rPr>
          <w:rFonts w:hint="cs"/>
          <w:rtl/>
        </w:rPr>
        <w:t xml:space="preserve">ספר תשובותיו של </w:t>
      </w:r>
      <w:proofErr w:type="spellStart"/>
      <w:r>
        <w:rPr>
          <w:rFonts w:hint="cs"/>
          <w:rtl/>
        </w:rPr>
        <w:t>רד"צ</w:t>
      </w:r>
      <w:proofErr w:type="spellEnd"/>
      <w:r>
        <w:rPr>
          <w:rFonts w:hint="cs"/>
          <w:rtl/>
        </w:rPr>
        <w:t xml:space="preserve"> הופמן</w:t>
      </w:r>
      <w:r w:rsidRPr="00FA7269">
        <w:rPr>
          <w:rFonts w:hint="cs"/>
          <w:rtl/>
        </w:rPr>
        <w:t>,</w:t>
      </w:r>
      <w:r>
        <w:rPr>
          <w:rStyle w:val="a5"/>
          <w:rtl/>
        </w:rPr>
        <w:footnoteReference w:id="19"/>
      </w:r>
      <w:r w:rsidRPr="00FA7269">
        <w:rPr>
          <w:rFonts w:hint="cs"/>
          <w:rtl/>
        </w:rPr>
        <w:t xml:space="preserve"> אך </w:t>
      </w:r>
      <w:r>
        <w:rPr>
          <w:rFonts w:hint="cs"/>
          <w:rtl/>
        </w:rPr>
        <w:t xml:space="preserve">היא </w:t>
      </w:r>
      <w:r w:rsidRPr="00FA7269">
        <w:rPr>
          <w:rFonts w:hint="cs"/>
          <w:rtl/>
        </w:rPr>
        <w:t xml:space="preserve">הושמטה במהדורת המוסד לעידוד לימוד התורה, </w:t>
      </w:r>
      <w:proofErr w:type="spellStart"/>
      <w:r w:rsidRPr="00FA7269">
        <w:rPr>
          <w:rFonts w:hint="cs"/>
          <w:rtl/>
        </w:rPr>
        <w:t>קעסט-ליבוביץ</w:t>
      </w:r>
      <w:proofErr w:type="spellEnd"/>
      <w:r w:rsidRPr="00FA7269">
        <w:rPr>
          <w:rFonts w:hint="cs"/>
          <w:rtl/>
        </w:rPr>
        <w:t>'</w:t>
      </w:r>
      <w:r>
        <w:rPr>
          <w:rFonts w:hint="cs"/>
          <w:rtl/>
        </w:rPr>
        <w:t>,</w:t>
      </w:r>
      <w:r w:rsidRPr="00FA7269">
        <w:rPr>
          <w:rFonts w:hint="cs"/>
          <w:rtl/>
        </w:rPr>
        <w:t xml:space="preserve"> והיא אף הושמטה ממפתחות הספר, מטעמים מובנים.</w:t>
      </w:r>
    </w:p>
    <w:p w:rsidR="00F171A5" w:rsidRPr="00636ACF" w:rsidRDefault="00F171A5" w:rsidP="00C26B5D">
      <w:pPr>
        <w:rPr>
          <w:rtl/>
        </w:rPr>
      </w:pPr>
      <w:r w:rsidRPr="00636ACF">
        <w:rPr>
          <w:rFonts w:hint="cs"/>
          <w:rtl/>
        </w:rPr>
        <w:t xml:space="preserve">שי </w:t>
      </w:r>
      <w:proofErr w:type="spellStart"/>
      <w:r w:rsidRPr="00636ACF">
        <w:rPr>
          <w:rFonts w:hint="cs"/>
          <w:rtl/>
        </w:rPr>
        <w:t>ווזנר</w:t>
      </w:r>
      <w:proofErr w:type="spellEnd"/>
      <w:r w:rsidR="00C26B5D">
        <w:rPr>
          <w:rFonts w:hint="cs"/>
          <w:rtl/>
        </w:rPr>
        <w:t xml:space="preserve"> טען</w:t>
      </w:r>
      <w:r w:rsidRPr="00636ACF">
        <w:rPr>
          <w:rFonts w:hint="cs"/>
          <w:rtl/>
        </w:rPr>
        <w:t xml:space="preserve">, </w:t>
      </w:r>
      <w:r w:rsidR="00C26B5D">
        <w:rPr>
          <w:rFonts w:hint="cs"/>
          <w:rtl/>
        </w:rPr>
        <w:t xml:space="preserve">שלעיתים </w:t>
      </w:r>
      <w:r w:rsidR="00C26B5D" w:rsidRPr="00636ACF">
        <w:rPr>
          <w:rFonts w:hint="cs"/>
          <w:rtl/>
        </w:rPr>
        <w:t>פוסקי הלכה נמנעים לעיתים מלפרסם ברבים את עמדתם, על מנת לחזק את הדין לכתחילה ולמנוע מן הציבור להקל על עצמו ולפעול לפי הדין שבדיעבד</w:t>
      </w:r>
      <w:r w:rsidR="00C26B5D">
        <w:rPr>
          <w:rStyle w:val="a5"/>
          <w:rtl/>
        </w:rPr>
        <w:footnoteReference w:id="20"/>
      </w:r>
      <w:r w:rsidR="00C26B5D" w:rsidRPr="00636ACF">
        <w:rPr>
          <w:rFonts w:hint="cs"/>
          <w:rtl/>
        </w:rPr>
        <w:t>.</w:t>
      </w:r>
      <w:bookmarkStart w:id="3" w:name="_Ref394910699"/>
      <w:r w:rsidR="00C26B5D" w:rsidRPr="00636ACF">
        <w:rPr>
          <w:rStyle w:val="a5"/>
          <w:rtl/>
        </w:rPr>
        <w:footnoteReference w:id="21"/>
      </w:r>
      <w:bookmarkEnd w:id="3"/>
      <w:r w:rsidR="00C26B5D">
        <w:rPr>
          <w:rFonts w:hint="cs"/>
          <w:rtl/>
        </w:rPr>
        <w:t xml:space="preserve"> </w:t>
      </w:r>
      <w:r w:rsidRPr="00636ACF">
        <w:rPr>
          <w:rFonts w:hint="cs"/>
          <w:rtl/>
        </w:rPr>
        <w:t xml:space="preserve"> </w:t>
      </w:r>
    </w:p>
    <w:p w:rsidR="005958F2" w:rsidRDefault="0031206B" w:rsidP="008803FC">
      <w:pPr>
        <w:rPr>
          <w:spacing w:val="-4"/>
          <w:rtl/>
        </w:rPr>
      </w:pPr>
      <w:r>
        <w:rPr>
          <w:rFonts w:hint="cs"/>
          <w:rtl/>
        </w:rPr>
        <w:t xml:space="preserve">לפני כשלושים שנה פרסם </w:t>
      </w:r>
      <w:r w:rsidR="00F171A5" w:rsidRPr="00636ACF">
        <w:rPr>
          <w:rFonts w:hint="cs"/>
          <w:rtl/>
        </w:rPr>
        <w:t xml:space="preserve">הרב </w:t>
      </w:r>
      <w:r w:rsidR="00F171A5" w:rsidRPr="00636ACF">
        <w:rPr>
          <w:rtl/>
        </w:rPr>
        <w:t xml:space="preserve">שלמה </w:t>
      </w:r>
      <w:proofErr w:type="spellStart"/>
      <w:r w:rsidR="00F171A5" w:rsidRPr="00636ACF">
        <w:rPr>
          <w:rtl/>
        </w:rPr>
        <w:t>דיכובסקי</w:t>
      </w:r>
      <w:proofErr w:type="spellEnd"/>
      <w:r>
        <w:rPr>
          <w:rFonts w:hint="cs"/>
          <w:rtl/>
        </w:rPr>
        <w:t xml:space="preserve">, </w:t>
      </w:r>
      <w:r w:rsidR="00F171A5" w:rsidRPr="00636ACF">
        <w:rPr>
          <w:rFonts w:hint="cs"/>
          <w:rtl/>
        </w:rPr>
        <w:t xml:space="preserve">שכיהן שנים ארוכות כדיין בבית הדין הרבני הגדול וכיום משמש כמנהל בתי הדין הרבניים, </w:t>
      </w:r>
      <w:r>
        <w:rPr>
          <w:rFonts w:hint="cs"/>
          <w:rtl/>
        </w:rPr>
        <w:t xml:space="preserve">מאמר שבו העיד </w:t>
      </w:r>
      <w:r w:rsidR="00F171A5" w:rsidRPr="00636ACF">
        <w:rPr>
          <w:rFonts w:hint="cs"/>
          <w:rtl/>
        </w:rPr>
        <w:t>שעד תחילת שנות השמונים של המאה הקודמת, עורכי פסקי הדין הרבניים הנהיגו מדיניות המונעת את פרסומם של פסקי דין רבניים שבהם קיימת התייחסות לחוק המדינה, א</w:t>
      </w:r>
      <w:r w:rsidR="00F171A5" w:rsidRPr="00636ACF">
        <w:rPr>
          <w:rtl/>
        </w:rPr>
        <w:t>ו</w:t>
      </w:r>
      <w:r w:rsidR="00F171A5" w:rsidRPr="00636ACF">
        <w:rPr>
          <w:rFonts w:hint="cs"/>
          <w:rtl/>
        </w:rPr>
        <w:t xml:space="preserve"> שמאפשרת את הפרסום, תוך השמטת </w:t>
      </w:r>
      <w:r w:rsidR="00F171A5" w:rsidRPr="00636ACF">
        <w:rPr>
          <w:rtl/>
        </w:rPr>
        <w:lastRenderedPageBreak/>
        <w:t xml:space="preserve">התייחסויות </w:t>
      </w:r>
      <w:r w:rsidR="00F171A5" w:rsidRPr="00636ACF">
        <w:rPr>
          <w:rFonts w:hint="cs"/>
          <w:rtl/>
        </w:rPr>
        <w:t>לחוק המדינה.</w:t>
      </w:r>
      <w:r w:rsidR="00F171A5" w:rsidRPr="00636ACF">
        <w:rPr>
          <w:rStyle w:val="a5"/>
          <w:rtl/>
        </w:rPr>
        <w:footnoteReference w:id="22"/>
      </w:r>
      <w:r w:rsidR="00F171A5" w:rsidRPr="00636ACF">
        <w:rPr>
          <w:rFonts w:hint="cs"/>
          <w:rtl/>
        </w:rPr>
        <w:t xml:space="preserve"> </w:t>
      </w:r>
      <w:r>
        <w:rPr>
          <w:rFonts w:hint="cs"/>
          <w:rtl/>
        </w:rPr>
        <w:t xml:space="preserve">מדיניות זו הייתה קשורה למדיניות שנועדה לעודד את המתדיינים ליישב את הסכסוך בהתאם לדין התורה ולא בהתאם לדין המדינה. </w:t>
      </w:r>
    </w:p>
    <w:p w:rsidR="00E16D79" w:rsidRPr="00E16D79" w:rsidRDefault="00E16D79" w:rsidP="00E16D79">
      <w:pPr>
        <w:pStyle w:val="10"/>
        <w:rPr>
          <w:rtl/>
        </w:rPr>
      </w:pPr>
      <w:r w:rsidRPr="00E16D79">
        <w:rPr>
          <w:rFonts w:hint="cs"/>
          <w:rtl/>
        </w:rPr>
        <w:t>מסקנות</w:t>
      </w:r>
    </w:p>
    <w:p w:rsidR="00585664" w:rsidRPr="003E00D9" w:rsidRDefault="00585664" w:rsidP="003E00D9">
      <w:pPr>
        <w:pStyle w:val="a6"/>
        <w:numPr>
          <w:ilvl w:val="0"/>
          <w:numId w:val="11"/>
        </w:numPr>
        <w:rPr>
          <w:spacing w:val="-4"/>
          <w:rtl/>
        </w:rPr>
      </w:pPr>
      <w:r w:rsidRPr="003E00D9">
        <w:rPr>
          <w:rFonts w:hint="cs"/>
          <w:spacing w:val="-4"/>
          <w:rtl/>
        </w:rPr>
        <w:t>המשפט העברי מחייב את הדיין לעשות כל אשר לאל ידו כדי להבטיח שמירה של אמון הציבור בבתי הדין ולמנוע לזות שפתיים כנגד הדיינים. חובה זו דורשת מבתי הדין להקפיד על שמירת עיקרון פומביות הדיון.</w:t>
      </w:r>
    </w:p>
    <w:p w:rsidR="00585664" w:rsidRDefault="00695A04" w:rsidP="003E00D9">
      <w:pPr>
        <w:pStyle w:val="a6"/>
        <w:numPr>
          <w:ilvl w:val="0"/>
          <w:numId w:val="11"/>
        </w:numPr>
        <w:rPr>
          <w:spacing w:val="-4"/>
          <w:rtl/>
        </w:rPr>
      </w:pPr>
      <w:r>
        <w:rPr>
          <w:rFonts w:hint="cs"/>
          <w:spacing w:val="-4"/>
          <w:rtl/>
        </w:rPr>
        <w:t xml:space="preserve">המשפט העברי מחייב את פרסומם של פסקי הדין, כאמצעי חיוני </w:t>
      </w:r>
      <w:proofErr w:type="spellStart"/>
      <w:r>
        <w:rPr>
          <w:rFonts w:hint="cs"/>
          <w:spacing w:val="-4"/>
          <w:rtl/>
        </w:rPr>
        <w:t>להנגשת</w:t>
      </w:r>
      <w:proofErr w:type="spellEnd"/>
      <w:r>
        <w:rPr>
          <w:rFonts w:hint="cs"/>
          <w:spacing w:val="-4"/>
          <w:rtl/>
        </w:rPr>
        <w:t xml:space="preserve"> ההלכה לציבור ולפיתוחה. </w:t>
      </w:r>
    </w:p>
    <w:p w:rsidR="00695A04" w:rsidRDefault="00695A04" w:rsidP="003E00D9">
      <w:pPr>
        <w:pStyle w:val="a6"/>
        <w:numPr>
          <w:ilvl w:val="0"/>
          <w:numId w:val="11"/>
        </w:numPr>
        <w:rPr>
          <w:spacing w:val="-4"/>
          <w:rtl/>
        </w:rPr>
      </w:pPr>
      <w:r>
        <w:rPr>
          <w:rFonts w:hint="cs"/>
          <w:spacing w:val="-4"/>
          <w:rtl/>
        </w:rPr>
        <w:t xml:space="preserve">עם זאת, </w:t>
      </w:r>
      <w:r w:rsidR="00585664">
        <w:rPr>
          <w:rFonts w:hint="cs"/>
          <w:spacing w:val="-4"/>
          <w:rtl/>
        </w:rPr>
        <w:t>הערך של פומביות הדיון אינו מוחלט, והוא נסוג לעיתים מפני הצורך להגן על פרטיותם של המעורבים בהליך המשפטי</w:t>
      </w:r>
      <w:r>
        <w:rPr>
          <w:rFonts w:hint="cs"/>
          <w:spacing w:val="-4"/>
          <w:rtl/>
        </w:rPr>
        <w:t>. לכן</w:t>
      </w:r>
      <w:r w:rsidR="00585664">
        <w:rPr>
          <w:rFonts w:hint="cs"/>
          <w:spacing w:val="-4"/>
          <w:rtl/>
        </w:rPr>
        <w:t xml:space="preserve">, </w:t>
      </w:r>
      <w:r>
        <w:rPr>
          <w:rFonts w:hint="cs"/>
          <w:spacing w:val="-4"/>
          <w:rtl/>
        </w:rPr>
        <w:t xml:space="preserve">בדיונים שפתיחתם לציבור עלולה לפגוע קשות בפרטיותם של בעלי הדין או אנשים אחרי המעורבים בהליך, </w:t>
      </w:r>
      <w:r w:rsidR="00585664">
        <w:rPr>
          <w:rFonts w:hint="cs"/>
          <w:spacing w:val="-4"/>
          <w:rtl/>
        </w:rPr>
        <w:t>י</w:t>
      </w:r>
      <w:r>
        <w:rPr>
          <w:rFonts w:hint="cs"/>
          <w:spacing w:val="-4"/>
          <w:rtl/>
        </w:rPr>
        <w:t>ש לסגור את דלתי בית הדין בפני מי שאינם מעורבים ישירות בהליך.</w:t>
      </w:r>
    </w:p>
    <w:p w:rsidR="00585664" w:rsidRDefault="003E00D9" w:rsidP="003E00D9">
      <w:pPr>
        <w:pStyle w:val="a6"/>
        <w:numPr>
          <w:ilvl w:val="0"/>
          <w:numId w:val="11"/>
        </w:numPr>
        <w:rPr>
          <w:spacing w:val="-4"/>
          <w:rtl/>
        </w:rPr>
      </w:pPr>
      <w:r w:rsidRPr="003E00D9">
        <w:rPr>
          <w:rFonts w:hint="cs"/>
          <w:spacing w:val="-4"/>
          <w:rtl/>
        </w:rPr>
        <w:t>כמו כן, לעיתים שיקולים של הגנה על צנעת הפרט, על כבודם של הדיינים או שיקולי מדיניות שתכליתם למנוע הבנה שגויה או מסולפת של ההלכה, עשויים להצדיק את אי פרסומם של פסקי הדין או למצער, את הגבלת הפרסום באופן שימנע תוצאה זו.</w:t>
      </w:r>
    </w:p>
    <w:sectPr w:rsidR="00585664" w:rsidSect="00721A92">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8A7" w:rsidRDefault="00EE78A7" w:rsidP="006620AA">
      <w:pPr>
        <w:spacing w:before="0" w:after="0" w:line="240" w:lineRule="auto"/>
      </w:pPr>
      <w:r>
        <w:separator/>
      </w:r>
    </w:p>
  </w:endnote>
  <w:endnote w:type="continuationSeparator" w:id="0">
    <w:p w:rsidR="00EE78A7" w:rsidRDefault="00EE78A7" w:rsidP="006620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8A7" w:rsidRDefault="00EE78A7" w:rsidP="006620AA">
      <w:pPr>
        <w:spacing w:before="0" w:after="0" w:line="240" w:lineRule="auto"/>
      </w:pPr>
      <w:r>
        <w:separator/>
      </w:r>
    </w:p>
  </w:footnote>
  <w:footnote w:type="continuationSeparator" w:id="0">
    <w:p w:rsidR="00EE78A7" w:rsidRDefault="00EE78A7" w:rsidP="006620AA">
      <w:pPr>
        <w:spacing w:before="0" w:after="0" w:line="240" w:lineRule="auto"/>
      </w:pPr>
      <w:r>
        <w:continuationSeparator/>
      </w:r>
    </w:p>
  </w:footnote>
  <w:footnote w:id="1">
    <w:p w:rsidR="00B30AB5" w:rsidRPr="00F51AE2" w:rsidRDefault="00B30AB5" w:rsidP="00E41F2D">
      <w:pPr>
        <w:pStyle w:val="a3"/>
        <w:rPr>
          <w:rtl/>
        </w:rPr>
      </w:pPr>
      <w:r w:rsidRPr="00F51AE2">
        <w:rPr>
          <w:rStyle w:val="a5"/>
        </w:rPr>
        <w:footnoteRef/>
      </w:r>
      <w:r w:rsidRPr="00F51AE2">
        <w:rPr>
          <w:rtl/>
        </w:rPr>
        <w:t xml:space="preserve"> </w:t>
      </w:r>
      <w:r w:rsidRPr="00F51AE2">
        <w:rPr>
          <w:rFonts w:hint="cs"/>
          <w:rtl/>
        </w:rPr>
        <w:tab/>
      </w:r>
      <w:r w:rsidRPr="00F51AE2">
        <w:rPr>
          <w:rtl/>
        </w:rPr>
        <w:t>בג</w:t>
      </w:r>
      <w:r w:rsidRPr="00F51AE2">
        <w:rPr>
          <w:rFonts w:hint="cs"/>
          <w:rtl/>
        </w:rPr>
        <w:t>"</w:t>
      </w:r>
      <w:r w:rsidRPr="00F51AE2">
        <w:rPr>
          <w:rtl/>
        </w:rPr>
        <w:t xml:space="preserve">ץ 5917/97 </w:t>
      </w:r>
      <w:r w:rsidRPr="00F51AE2">
        <w:rPr>
          <w:b/>
          <w:bCs/>
          <w:rtl/>
        </w:rPr>
        <w:t>האגודה לזכויות האזרח בישראל נ' שר המשפטים</w:t>
      </w:r>
      <w:r w:rsidRPr="00F51AE2">
        <w:rPr>
          <w:rFonts w:hint="cs"/>
          <w:rtl/>
        </w:rPr>
        <w:t xml:space="preserve"> (פורסם ב'נבו) פסקה 17 לפסק דינה של הנשיאה (כתוארה אז) השופטת דורית בייניש (מפנה בהקשר זה ל</w:t>
      </w:r>
      <w:r w:rsidRPr="00F51AE2">
        <w:rPr>
          <w:rtl/>
        </w:rPr>
        <w:t>סעיף 3 לחוק יסוד: השפיטה</w:t>
      </w:r>
      <w:r w:rsidRPr="00F51AE2">
        <w:rPr>
          <w:rFonts w:hint="cs"/>
          <w:rtl/>
        </w:rPr>
        <w:t xml:space="preserve">, </w:t>
      </w:r>
      <w:proofErr w:type="spellStart"/>
      <w:r w:rsidRPr="00F51AE2">
        <w:rPr>
          <w:rFonts w:hint="cs"/>
          <w:rtl/>
        </w:rPr>
        <w:t>ול</w:t>
      </w:r>
      <w:r w:rsidRPr="00F51AE2">
        <w:rPr>
          <w:rtl/>
        </w:rPr>
        <w:t>רע"א</w:t>
      </w:r>
      <w:proofErr w:type="spellEnd"/>
      <w:r w:rsidRPr="00F51AE2">
        <w:rPr>
          <w:rtl/>
        </w:rPr>
        <w:t xml:space="preserve"> 3007/02 </w:t>
      </w:r>
      <w:r w:rsidRPr="00F51AE2">
        <w:rPr>
          <w:b/>
          <w:bCs/>
          <w:rtl/>
        </w:rPr>
        <w:t>יצחק נ' מוזס</w:t>
      </w:r>
      <w:r w:rsidRPr="00F51AE2">
        <w:rPr>
          <w:rtl/>
        </w:rPr>
        <w:t xml:space="preserve"> פ"ד נו(6) 592, פסקאות 10-9 לפסק דינה של השופטת </w:t>
      </w:r>
      <w:r w:rsidRPr="00F51AE2">
        <w:rPr>
          <w:rFonts w:hint="cs"/>
          <w:rtl/>
        </w:rPr>
        <w:t xml:space="preserve">(כתוארה אז), </w:t>
      </w:r>
      <w:r w:rsidRPr="00F51AE2">
        <w:rPr>
          <w:rtl/>
        </w:rPr>
        <w:t>ד</w:t>
      </w:r>
      <w:r w:rsidRPr="00F51AE2">
        <w:rPr>
          <w:rFonts w:hint="cs"/>
          <w:rtl/>
        </w:rPr>
        <w:t>ליה</w:t>
      </w:r>
      <w:r w:rsidRPr="00F51AE2">
        <w:rPr>
          <w:rtl/>
        </w:rPr>
        <w:t xml:space="preserve"> </w:t>
      </w:r>
      <w:proofErr w:type="spellStart"/>
      <w:r w:rsidRPr="00F51AE2">
        <w:rPr>
          <w:rtl/>
        </w:rPr>
        <w:t>דורנר</w:t>
      </w:r>
      <w:proofErr w:type="spellEnd"/>
      <w:r w:rsidR="00CC163E">
        <w:rPr>
          <w:rFonts w:hint="cs"/>
          <w:rtl/>
        </w:rPr>
        <w:t>. להלן: פרשת האגודה לזכויות האזרח)</w:t>
      </w:r>
      <w:r w:rsidRPr="00F51AE2">
        <w:rPr>
          <w:rFonts w:hint="cs"/>
          <w:rtl/>
        </w:rPr>
        <w:t xml:space="preserve">. וראו גם: </w:t>
      </w:r>
      <w:proofErr w:type="spellStart"/>
      <w:r w:rsidRPr="00F51AE2">
        <w:rPr>
          <w:rFonts w:hint="cs"/>
          <w:rtl/>
        </w:rPr>
        <w:t>על"ע</w:t>
      </w:r>
      <w:proofErr w:type="spellEnd"/>
      <w:r w:rsidRPr="00F51AE2">
        <w:rPr>
          <w:rFonts w:hint="cs"/>
          <w:rtl/>
        </w:rPr>
        <w:t xml:space="preserve"> 1/64 </w:t>
      </w:r>
      <w:r w:rsidRPr="00F51AE2">
        <w:rPr>
          <w:rFonts w:hint="cs"/>
          <w:b/>
          <w:bCs/>
          <w:rtl/>
        </w:rPr>
        <w:t>אפרים מרגלית נ' היועמ"ש ואחרים</w:t>
      </w:r>
      <w:r w:rsidRPr="00F51AE2">
        <w:rPr>
          <w:rFonts w:hint="cs"/>
          <w:rtl/>
        </w:rPr>
        <w:t xml:space="preserve"> פ"ד </w:t>
      </w:r>
      <w:proofErr w:type="spellStart"/>
      <w:r w:rsidRPr="00F51AE2">
        <w:rPr>
          <w:rFonts w:hint="cs"/>
          <w:rtl/>
        </w:rPr>
        <w:t>יח</w:t>
      </w:r>
      <w:proofErr w:type="spellEnd"/>
      <w:r w:rsidRPr="00F51AE2">
        <w:rPr>
          <w:rFonts w:hint="cs"/>
          <w:rtl/>
        </w:rPr>
        <w:t xml:space="preserve"> 601, 603; ע"פ 334/81 </w:t>
      </w:r>
      <w:proofErr w:type="spellStart"/>
      <w:r w:rsidRPr="00F51AE2">
        <w:rPr>
          <w:rFonts w:hint="cs"/>
          <w:b/>
          <w:bCs/>
          <w:rtl/>
        </w:rPr>
        <w:t>הגינזר</w:t>
      </w:r>
      <w:proofErr w:type="spellEnd"/>
      <w:r w:rsidRPr="00F51AE2">
        <w:rPr>
          <w:rFonts w:hint="cs"/>
          <w:b/>
          <w:bCs/>
          <w:rtl/>
        </w:rPr>
        <w:t xml:space="preserve"> נ' מדינת ישראל</w:t>
      </w:r>
      <w:r w:rsidRPr="00F51AE2">
        <w:rPr>
          <w:rFonts w:hint="cs"/>
          <w:rtl/>
        </w:rPr>
        <w:t xml:space="preserve"> פ"ד לו(1) 827, 832; ר"ע 176/68 </w:t>
      </w:r>
      <w:r w:rsidRPr="00F51AE2">
        <w:rPr>
          <w:rFonts w:hint="cs"/>
          <w:b/>
          <w:bCs/>
          <w:rtl/>
        </w:rPr>
        <w:t>פלונית נ' פלוני</w:t>
      </w:r>
      <w:r w:rsidRPr="00F51AE2">
        <w:rPr>
          <w:rFonts w:hint="cs"/>
          <w:rtl/>
        </w:rPr>
        <w:t xml:space="preserve"> פ"ד מ(2) 497, 499; בג"ץ 5335/04 </w:t>
      </w:r>
      <w:r w:rsidRPr="00F51AE2">
        <w:rPr>
          <w:rFonts w:hint="cs"/>
          <w:b/>
          <w:bCs/>
          <w:rtl/>
        </w:rPr>
        <w:t xml:space="preserve">ד"ר מוסא אבו רמדאן נ' בית הדין </w:t>
      </w:r>
      <w:proofErr w:type="spellStart"/>
      <w:r w:rsidRPr="00F51AE2">
        <w:rPr>
          <w:rFonts w:hint="cs"/>
          <w:b/>
          <w:bCs/>
          <w:rtl/>
        </w:rPr>
        <w:t>השרעי</w:t>
      </w:r>
      <w:proofErr w:type="spellEnd"/>
      <w:r w:rsidRPr="00F51AE2">
        <w:rPr>
          <w:rFonts w:hint="cs"/>
          <w:b/>
          <w:bCs/>
          <w:rtl/>
        </w:rPr>
        <w:t xml:space="preserve"> לערעורים</w:t>
      </w:r>
      <w:r w:rsidRPr="00F51AE2">
        <w:rPr>
          <w:rFonts w:hint="cs"/>
          <w:rtl/>
        </w:rPr>
        <w:t xml:space="preserve"> (פורסם ב'נבו') פסקה 8.</w:t>
      </w:r>
    </w:p>
  </w:footnote>
  <w:footnote w:id="2">
    <w:p w:rsidR="00EF3DE6" w:rsidRPr="00F51AE2" w:rsidRDefault="00EF3DE6" w:rsidP="00EF3DE6">
      <w:pPr>
        <w:pStyle w:val="a3"/>
        <w:rPr>
          <w:rtl/>
        </w:rPr>
      </w:pPr>
      <w:r w:rsidRPr="00F51AE2">
        <w:rPr>
          <w:rStyle w:val="a5"/>
        </w:rPr>
        <w:footnoteRef/>
      </w:r>
      <w:r w:rsidRPr="00F51AE2">
        <w:rPr>
          <w:rtl/>
        </w:rPr>
        <w:t xml:space="preserve"> </w:t>
      </w:r>
      <w:r w:rsidRPr="00F51AE2">
        <w:rPr>
          <w:rFonts w:hint="cs"/>
          <w:rtl/>
        </w:rPr>
        <w:tab/>
      </w:r>
      <w:r w:rsidRPr="00F51AE2">
        <w:rPr>
          <w:rStyle w:val="HTMLCite"/>
          <w:i w:val="0"/>
          <w:iCs w:val="0"/>
          <w:rtl/>
        </w:rPr>
        <w:t xml:space="preserve">דברי השופט מצא בע"פ 353/88 </w:t>
      </w:r>
      <w:proofErr w:type="spellStart"/>
      <w:r w:rsidRPr="00F51AE2">
        <w:rPr>
          <w:rStyle w:val="HTMLCite"/>
          <w:b/>
          <w:bCs/>
          <w:i w:val="0"/>
          <w:iCs w:val="0"/>
          <w:rtl/>
        </w:rPr>
        <w:t>וילנר</w:t>
      </w:r>
      <w:proofErr w:type="spellEnd"/>
      <w:r w:rsidRPr="00F51AE2">
        <w:rPr>
          <w:rStyle w:val="HTMLCite"/>
          <w:b/>
          <w:bCs/>
          <w:i w:val="0"/>
          <w:iCs w:val="0"/>
          <w:rtl/>
        </w:rPr>
        <w:t xml:space="preserve"> נ' מדינת ישראל</w:t>
      </w:r>
      <w:r w:rsidRPr="00F51AE2">
        <w:rPr>
          <w:rStyle w:val="HTMLCite"/>
          <w:i w:val="0"/>
          <w:iCs w:val="0"/>
          <w:rtl/>
        </w:rPr>
        <w:t xml:space="preserve"> פ"ד מה(2) 444, 450</w:t>
      </w:r>
      <w:r w:rsidRPr="00F51AE2">
        <w:rPr>
          <w:rFonts w:hint="cs"/>
          <w:rtl/>
        </w:rPr>
        <w:t xml:space="preserve">. בהקשר זה, מקובל לצטט מדבריו של </w:t>
      </w:r>
      <w:proofErr w:type="spellStart"/>
      <w:r w:rsidRPr="00F51AE2">
        <w:rPr>
          <w:rFonts w:hint="cs"/>
          <w:rtl/>
        </w:rPr>
        <w:t>ג'רמי</w:t>
      </w:r>
      <w:proofErr w:type="spellEnd"/>
      <w:r w:rsidRPr="00F51AE2">
        <w:rPr>
          <w:rFonts w:hint="cs"/>
          <w:rtl/>
        </w:rPr>
        <w:t xml:space="preserve"> </w:t>
      </w:r>
      <w:proofErr w:type="spellStart"/>
      <w:r w:rsidRPr="00F51AE2">
        <w:rPr>
          <w:rFonts w:hint="cs"/>
          <w:rtl/>
        </w:rPr>
        <w:t>בנתהאם</w:t>
      </w:r>
      <w:proofErr w:type="spellEnd"/>
      <w:r w:rsidRPr="00F51AE2">
        <w:rPr>
          <w:rFonts w:hint="cs"/>
          <w:rtl/>
        </w:rPr>
        <w:t xml:space="preserve"> על כך ש </w:t>
      </w:r>
      <w:r w:rsidRPr="00F51AE2">
        <w:rPr>
          <w:rtl/>
        </w:rPr>
        <w:t>–</w:t>
      </w:r>
      <w:r w:rsidRPr="00F51AE2">
        <w:rPr>
          <w:rFonts w:hint="cs"/>
          <w:rtl/>
        </w:rPr>
        <w:t xml:space="preserve"> </w:t>
      </w:r>
    </w:p>
    <w:p w:rsidR="00EF3DE6" w:rsidRPr="00F51AE2" w:rsidRDefault="00EF3DE6" w:rsidP="00EF3DE6">
      <w:pPr>
        <w:pStyle w:val="a3"/>
        <w:bidi w:val="0"/>
        <w:ind w:left="567" w:right="567" w:firstLine="0"/>
      </w:pPr>
      <w:r w:rsidRPr="00F51AE2">
        <w:rPr>
          <w:spacing w:val="-2"/>
        </w:rPr>
        <w:t xml:space="preserve">In the darkness of secrecy, sinister interest and evil in every shape have full swing. Only as proportion as publicity has place, can any of the checks applicable to judicial injustice operate. Where there is no publicity, there is no justice. Publicity is the very soul of justice. It is the keenest spur to exertion and the surest of all guards against improbity. It keeps the judge himself while trying under trial </w:t>
      </w:r>
      <w:r w:rsidRPr="00F51AE2">
        <w:rPr>
          <w:spacing w:val="-2"/>
          <w:sz w:val="16"/>
          <w:szCs w:val="16"/>
        </w:rPr>
        <w:t xml:space="preserve">(Jeremy Bentham, </w:t>
      </w:r>
      <w:r w:rsidRPr="00F51AE2">
        <w:rPr>
          <w:b/>
          <w:bCs/>
          <w:spacing w:val="-2"/>
          <w:sz w:val="16"/>
          <w:szCs w:val="16"/>
        </w:rPr>
        <w:t>The Works of Jeremy Bentham</w:t>
      </w:r>
      <w:r w:rsidRPr="00F51AE2">
        <w:rPr>
          <w:spacing w:val="-2"/>
          <w:sz w:val="16"/>
          <w:szCs w:val="16"/>
        </w:rPr>
        <w:t xml:space="preserve"> published under the Superintendence of his Executor, John Bowring (Edinburgh: William Tait, 1838-1843) Vol. 9 (Constitutional Code), Book II, </w:t>
      </w:r>
      <w:proofErr w:type="spellStart"/>
      <w:r w:rsidRPr="00F51AE2">
        <w:rPr>
          <w:spacing w:val="-2"/>
          <w:sz w:val="16"/>
          <w:szCs w:val="16"/>
        </w:rPr>
        <w:t>ch.</w:t>
      </w:r>
      <w:proofErr w:type="spellEnd"/>
      <w:r w:rsidRPr="00F51AE2">
        <w:rPr>
          <w:spacing w:val="-2"/>
          <w:sz w:val="16"/>
          <w:szCs w:val="16"/>
        </w:rPr>
        <w:t xml:space="preserve"> XII, sect. XIV</w:t>
      </w:r>
      <w:r w:rsidRPr="00F51AE2">
        <w:rPr>
          <w:sz w:val="16"/>
          <w:szCs w:val="16"/>
        </w:rPr>
        <w:t>).</w:t>
      </w:r>
    </w:p>
  </w:footnote>
  <w:footnote w:id="3">
    <w:p w:rsidR="00EF3DE6" w:rsidRPr="00F51AE2" w:rsidRDefault="00EF3DE6" w:rsidP="00EF3DE6">
      <w:pPr>
        <w:pStyle w:val="a3"/>
      </w:pPr>
      <w:r w:rsidRPr="00F51AE2">
        <w:rPr>
          <w:rStyle w:val="a5"/>
        </w:rPr>
        <w:footnoteRef/>
      </w:r>
      <w:r w:rsidRPr="00F51AE2">
        <w:rPr>
          <w:rtl/>
        </w:rPr>
        <w:t xml:space="preserve"> </w:t>
      </w:r>
      <w:r w:rsidRPr="00F51AE2">
        <w:rPr>
          <w:rFonts w:hint="cs"/>
          <w:rtl/>
        </w:rPr>
        <w:tab/>
        <w:t>דברי השופטת בייניש ב</w:t>
      </w:r>
      <w:r w:rsidRPr="00F51AE2">
        <w:rPr>
          <w:rFonts w:hint="cs"/>
          <w:b/>
          <w:bCs/>
          <w:rtl/>
        </w:rPr>
        <w:t>פרשת האגודה לזכויות האזרח</w:t>
      </w:r>
      <w:r w:rsidRPr="00F51AE2">
        <w:rPr>
          <w:rFonts w:hint="cs"/>
          <w:rtl/>
        </w:rPr>
        <w:t xml:space="preserve"> שם, על פי </w:t>
      </w:r>
      <w:proofErr w:type="spellStart"/>
      <w:r w:rsidRPr="00F51AE2">
        <w:rPr>
          <w:rStyle w:val="HTMLCite"/>
          <w:i w:val="0"/>
          <w:iCs w:val="0"/>
          <w:rtl/>
        </w:rPr>
        <w:t>בש"פ</w:t>
      </w:r>
      <w:proofErr w:type="spellEnd"/>
      <w:r w:rsidRPr="00F51AE2">
        <w:rPr>
          <w:rStyle w:val="HTMLCite"/>
          <w:i w:val="0"/>
          <w:iCs w:val="0"/>
          <w:rtl/>
        </w:rPr>
        <w:t xml:space="preserve"> 2484/05 </w:t>
      </w:r>
      <w:r w:rsidRPr="00F51AE2">
        <w:rPr>
          <w:rStyle w:val="HTMLCite"/>
          <w:b/>
          <w:bCs/>
          <w:i w:val="0"/>
          <w:iCs w:val="0"/>
          <w:rtl/>
        </w:rPr>
        <w:t>פרי נ' מדינת ישראל</w:t>
      </w:r>
      <w:r w:rsidRPr="00F51AE2">
        <w:rPr>
          <w:rStyle w:val="HTMLCite"/>
          <w:rFonts w:hint="cs"/>
          <w:b/>
          <w:bCs/>
          <w:i w:val="0"/>
          <w:iCs w:val="0"/>
          <w:rtl/>
        </w:rPr>
        <w:t xml:space="preserve"> </w:t>
      </w:r>
      <w:r w:rsidRPr="00F51AE2">
        <w:rPr>
          <w:rStyle w:val="HTMLCite"/>
          <w:rFonts w:hint="cs"/>
          <w:i w:val="0"/>
          <w:iCs w:val="0"/>
          <w:rtl/>
        </w:rPr>
        <w:t>(פורסם ב'נבו').</w:t>
      </w:r>
    </w:p>
  </w:footnote>
  <w:footnote w:id="4">
    <w:p w:rsidR="00EF3DE6" w:rsidRPr="00F51AE2" w:rsidRDefault="00EF3DE6" w:rsidP="00CC163E">
      <w:pPr>
        <w:pStyle w:val="a3"/>
      </w:pPr>
      <w:r w:rsidRPr="00F51AE2">
        <w:rPr>
          <w:rStyle w:val="a5"/>
        </w:rPr>
        <w:footnoteRef/>
      </w:r>
      <w:r w:rsidRPr="00F51AE2">
        <w:rPr>
          <w:rtl/>
        </w:rPr>
        <w:t xml:space="preserve"> </w:t>
      </w:r>
      <w:r w:rsidRPr="00F51AE2">
        <w:rPr>
          <w:rFonts w:hint="cs"/>
          <w:rtl/>
        </w:rPr>
        <w:tab/>
        <w:t>דברי השופטת בייניש שם, וראו גם דבריה ב</w:t>
      </w:r>
      <w:r w:rsidRPr="00F51AE2">
        <w:rPr>
          <w:rStyle w:val="HTMLCite"/>
          <w:i w:val="0"/>
          <w:iCs w:val="0"/>
          <w:rtl/>
        </w:rPr>
        <w:t xml:space="preserve">בג"ץ 258/07 </w:t>
      </w:r>
      <w:r w:rsidRPr="00F51AE2">
        <w:rPr>
          <w:rStyle w:val="HTMLCite"/>
          <w:b/>
          <w:bCs/>
          <w:i w:val="0"/>
          <w:iCs w:val="0"/>
          <w:rtl/>
        </w:rPr>
        <w:t>ח"כ זהבה גלאון נ' ועדת הבדיקה הממשלתית לבדיקת אירועי המערכה בלבנון</w:t>
      </w:r>
      <w:r w:rsidRPr="00F51AE2">
        <w:rPr>
          <w:rStyle w:val="HTMLCite"/>
          <w:rFonts w:hint="cs"/>
          <w:i w:val="0"/>
          <w:iCs w:val="0"/>
          <w:rtl/>
        </w:rPr>
        <w:t xml:space="preserve"> (פורסם ב'נבו'),</w:t>
      </w:r>
      <w:r w:rsidRPr="00F51AE2">
        <w:rPr>
          <w:rStyle w:val="HTMLCite"/>
          <w:i w:val="0"/>
          <w:iCs w:val="0"/>
          <w:rtl/>
        </w:rPr>
        <w:t xml:space="preserve"> פסקאות 7-6</w:t>
      </w:r>
      <w:r w:rsidRPr="00F51AE2">
        <w:rPr>
          <w:rStyle w:val="HTMLCite"/>
          <w:rFonts w:hint="cs"/>
          <w:i w:val="0"/>
          <w:iCs w:val="0"/>
          <w:rtl/>
        </w:rPr>
        <w:t>.</w:t>
      </w:r>
    </w:p>
  </w:footnote>
  <w:footnote w:id="5">
    <w:p w:rsidR="005B1AE7" w:rsidRPr="00F51AE2" w:rsidRDefault="005B1AE7" w:rsidP="005B1AE7">
      <w:pPr>
        <w:pStyle w:val="a3"/>
        <w:rPr>
          <w:rtl/>
        </w:rPr>
      </w:pPr>
      <w:r w:rsidRPr="00F51AE2">
        <w:rPr>
          <w:rStyle w:val="a5"/>
        </w:rPr>
        <w:footnoteRef/>
      </w:r>
      <w:r w:rsidRPr="00F51AE2">
        <w:rPr>
          <w:rtl/>
        </w:rPr>
        <w:t xml:space="preserve"> </w:t>
      </w:r>
      <w:r w:rsidRPr="00F51AE2">
        <w:rPr>
          <w:rFonts w:hint="cs"/>
          <w:rtl/>
        </w:rPr>
        <w:tab/>
        <w:t xml:space="preserve">ראו, </w:t>
      </w:r>
      <w:r w:rsidRPr="00F51AE2">
        <w:rPr>
          <w:rtl/>
        </w:rPr>
        <w:t>ת</w:t>
      </w:r>
      <w:r w:rsidRPr="00F51AE2">
        <w:rPr>
          <w:rFonts w:hint="cs"/>
          <w:rtl/>
        </w:rPr>
        <w:t>"</w:t>
      </w:r>
      <w:r w:rsidRPr="00F51AE2">
        <w:rPr>
          <w:rtl/>
        </w:rPr>
        <w:t>א (</w:t>
      </w:r>
      <w:proofErr w:type="spellStart"/>
      <w:r w:rsidRPr="00F51AE2">
        <w:rPr>
          <w:rtl/>
        </w:rPr>
        <w:t>נצ</w:t>
      </w:r>
      <w:proofErr w:type="spellEnd"/>
      <w:r w:rsidRPr="00F51AE2">
        <w:rPr>
          <w:rtl/>
        </w:rPr>
        <w:t xml:space="preserve">') 38938-05-11‏ </w:t>
      </w:r>
      <w:r w:rsidRPr="00F51AE2">
        <w:rPr>
          <w:b/>
          <w:bCs/>
          <w:rtl/>
        </w:rPr>
        <w:t xml:space="preserve">אורן </w:t>
      </w:r>
      <w:proofErr w:type="spellStart"/>
      <w:r w:rsidRPr="00F51AE2">
        <w:rPr>
          <w:b/>
          <w:bCs/>
          <w:rtl/>
        </w:rPr>
        <w:t>מילשטיין</w:t>
      </w:r>
      <w:proofErr w:type="spellEnd"/>
      <w:r w:rsidRPr="00F51AE2">
        <w:rPr>
          <w:b/>
          <w:bCs/>
          <w:rtl/>
        </w:rPr>
        <w:t xml:space="preserve"> נ' בנק מזרחי טפחות</w:t>
      </w:r>
      <w:r w:rsidRPr="00F51AE2">
        <w:rPr>
          <w:rFonts w:hint="cs"/>
          <w:rtl/>
        </w:rPr>
        <w:t xml:space="preserve"> (פורסם ב'נבו').</w:t>
      </w:r>
    </w:p>
  </w:footnote>
  <w:footnote w:id="6">
    <w:p w:rsidR="00E16D79" w:rsidRPr="00FA7269" w:rsidRDefault="00E16D79" w:rsidP="005174DE">
      <w:pPr>
        <w:pStyle w:val="a3"/>
        <w:rPr>
          <w:rtl/>
        </w:rPr>
      </w:pPr>
      <w:r w:rsidRPr="00EF744D">
        <w:rPr>
          <w:rStyle w:val="a5"/>
        </w:rPr>
        <w:footnoteRef/>
      </w:r>
      <w:r w:rsidRPr="00EF744D">
        <w:rPr>
          <w:rtl/>
        </w:rPr>
        <w:t xml:space="preserve"> </w:t>
      </w:r>
      <w:r w:rsidR="00CC163E">
        <w:rPr>
          <w:rFonts w:hint="cs"/>
          <w:rtl/>
        </w:rPr>
        <w:tab/>
      </w:r>
      <w:r w:rsidRPr="00CE45C7">
        <w:rPr>
          <w:rFonts w:hint="cs"/>
          <w:rtl/>
        </w:rPr>
        <w:t xml:space="preserve">חיים ה' כהן, </w:t>
      </w:r>
      <w:r w:rsidRPr="00CE45C7">
        <w:rPr>
          <w:rFonts w:hint="cs"/>
          <w:b/>
          <w:bCs/>
          <w:rtl/>
        </w:rPr>
        <w:t>המשפט</w:t>
      </w:r>
      <w:r w:rsidRPr="00FA7269">
        <w:rPr>
          <w:rFonts w:hint="cs"/>
          <w:rtl/>
        </w:rPr>
        <w:t xml:space="preserve"> מוסד ביאליק, ירושלים תש"ס 447.</w:t>
      </w:r>
      <w:r w:rsidR="005174DE">
        <w:rPr>
          <w:rFonts w:hint="cs"/>
          <w:rtl/>
        </w:rPr>
        <w:t xml:space="preserve"> מובא גם </w:t>
      </w:r>
      <w:proofErr w:type="spellStart"/>
      <w:r w:rsidR="005174DE">
        <w:rPr>
          <w:rFonts w:hint="cs"/>
          <w:rtl/>
        </w:rPr>
        <w:t>ב</w:t>
      </w:r>
      <w:r w:rsidR="005174DE">
        <w:rPr>
          <w:rtl/>
        </w:rPr>
        <w:t>בג"צ</w:t>
      </w:r>
      <w:proofErr w:type="spellEnd"/>
      <w:r w:rsidR="005174DE">
        <w:rPr>
          <w:rtl/>
        </w:rPr>
        <w:t xml:space="preserve"> 4841/04</w:t>
      </w:r>
      <w:r w:rsidR="005174DE">
        <w:rPr>
          <w:rFonts w:hint="cs"/>
          <w:rtl/>
        </w:rPr>
        <w:t xml:space="preserve"> </w:t>
      </w:r>
      <w:r w:rsidR="005174DE" w:rsidRPr="00CC163E">
        <w:rPr>
          <w:b/>
          <w:bCs/>
          <w:rtl/>
        </w:rPr>
        <w:t xml:space="preserve">מחמוד בן מחמוד </w:t>
      </w:r>
      <w:proofErr w:type="spellStart"/>
      <w:r w:rsidR="005174DE" w:rsidRPr="00CC163E">
        <w:rPr>
          <w:b/>
          <w:bCs/>
          <w:rtl/>
        </w:rPr>
        <w:t>מחג'אנה</w:t>
      </w:r>
      <w:proofErr w:type="spellEnd"/>
      <w:r w:rsidR="005174DE" w:rsidRPr="00CC163E">
        <w:rPr>
          <w:b/>
          <w:bCs/>
          <w:rtl/>
        </w:rPr>
        <w:t xml:space="preserve"> ואח' נ' בית המשפט המחוזי בחיפה</w:t>
      </w:r>
      <w:r w:rsidR="005174DE">
        <w:rPr>
          <w:rtl/>
        </w:rPr>
        <w:t xml:space="preserve"> ואח'</w:t>
      </w:r>
      <w:r w:rsidR="005174DE">
        <w:rPr>
          <w:rFonts w:hint="cs"/>
          <w:rtl/>
        </w:rPr>
        <w:t xml:space="preserve"> </w:t>
      </w:r>
      <w:r w:rsidR="005174DE">
        <w:rPr>
          <w:rtl/>
        </w:rPr>
        <w:t>תק-על 2004(2) 3304, 3309</w:t>
      </w:r>
      <w:r w:rsidR="005174DE">
        <w:rPr>
          <w:rFonts w:hint="cs"/>
          <w:rtl/>
        </w:rPr>
        <w:t>.</w:t>
      </w:r>
    </w:p>
  </w:footnote>
  <w:footnote w:id="7">
    <w:p w:rsidR="00282850" w:rsidRPr="00FA7269" w:rsidRDefault="00282850" w:rsidP="00F33F81">
      <w:pPr>
        <w:pStyle w:val="a3"/>
      </w:pPr>
      <w:r w:rsidRPr="00EF744D">
        <w:rPr>
          <w:rStyle w:val="a5"/>
        </w:rPr>
        <w:footnoteRef/>
      </w:r>
      <w:r w:rsidRPr="00EF744D">
        <w:rPr>
          <w:rtl/>
        </w:rPr>
        <w:t xml:space="preserve"> </w:t>
      </w:r>
      <w:r w:rsidR="00F33F81">
        <w:rPr>
          <w:rFonts w:hint="cs"/>
          <w:rtl/>
        </w:rPr>
        <w:tab/>
      </w:r>
      <w:r w:rsidR="00F33F81" w:rsidRPr="00F33F81">
        <w:rPr>
          <w:rtl/>
        </w:rPr>
        <w:t xml:space="preserve">אליאב </w:t>
      </w:r>
      <w:proofErr w:type="spellStart"/>
      <w:r w:rsidR="00F33F81" w:rsidRPr="00F33F81">
        <w:rPr>
          <w:rtl/>
        </w:rPr>
        <w:t>שוחטמן</w:t>
      </w:r>
      <w:proofErr w:type="spellEnd"/>
      <w:r w:rsidR="00F33F81" w:rsidRPr="00F33F81">
        <w:rPr>
          <w:rtl/>
        </w:rPr>
        <w:t xml:space="preserve">, </w:t>
      </w:r>
      <w:r w:rsidR="00F33F81" w:rsidRPr="00F33F81">
        <w:rPr>
          <w:b/>
          <w:bCs/>
          <w:rtl/>
        </w:rPr>
        <w:t xml:space="preserve">סדר הדין בבית הדין הרבני </w:t>
      </w:r>
      <w:r w:rsidR="00F33F81" w:rsidRPr="00F33F81">
        <w:rPr>
          <w:rtl/>
        </w:rPr>
        <w:t>ירושלים תשע"א 536</w:t>
      </w:r>
      <w:r w:rsidR="00F33F81">
        <w:rPr>
          <w:rFonts w:hint="cs"/>
          <w:rtl/>
        </w:rPr>
        <w:t xml:space="preserve">; הנ"ל, </w:t>
      </w:r>
      <w:r w:rsidRPr="00F33F81">
        <w:rPr>
          <w:rStyle w:val="HTMLCite"/>
          <w:i w:val="0"/>
          <w:iCs w:val="0"/>
          <w:rtl/>
        </w:rPr>
        <w:t xml:space="preserve">"חובת ההנמקה במשפט העברי", </w:t>
      </w:r>
      <w:r w:rsidRPr="00F33F81">
        <w:rPr>
          <w:rStyle w:val="HTMLCite"/>
          <w:b/>
          <w:bCs/>
          <w:i w:val="0"/>
          <w:iCs w:val="0"/>
          <w:rtl/>
        </w:rPr>
        <w:t>שנתון המשפט העברי</w:t>
      </w:r>
      <w:r w:rsidRPr="00F33F81">
        <w:rPr>
          <w:rStyle w:val="HTMLCite"/>
          <w:i w:val="0"/>
          <w:iCs w:val="0"/>
          <w:rtl/>
        </w:rPr>
        <w:t xml:space="preserve"> ו-ז (תשל"ט-</w:t>
      </w:r>
      <w:proofErr w:type="spellStart"/>
      <w:r w:rsidRPr="00F33F81">
        <w:rPr>
          <w:rStyle w:val="HTMLCite"/>
          <w:i w:val="0"/>
          <w:iCs w:val="0"/>
          <w:rtl/>
        </w:rPr>
        <w:t>תש"ם</w:t>
      </w:r>
      <w:proofErr w:type="spellEnd"/>
      <w:r w:rsidRPr="00F33F81">
        <w:rPr>
          <w:rStyle w:val="HTMLCite"/>
          <w:i w:val="0"/>
          <w:iCs w:val="0"/>
          <w:rtl/>
        </w:rPr>
        <w:t>) 319, 336</w:t>
      </w:r>
      <w:r w:rsidRPr="00FA7269">
        <w:rPr>
          <w:rStyle w:val="HTMLCite"/>
          <w:i w:val="0"/>
          <w:iCs w:val="0"/>
          <w:rtl/>
        </w:rPr>
        <w:t>, 386</w:t>
      </w:r>
      <w:r w:rsidRPr="00FA7269">
        <w:rPr>
          <w:rFonts w:hint="cs"/>
          <w:rtl/>
        </w:rPr>
        <w:t>.</w:t>
      </w:r>
    </w:p>
  </w:footnote>
  <w:footnote w:id="8">
    <w:p w:rsidR="00312FDA" w:rsidRPr="00FA7269" w:rsidRDefault="00312FDA" w:rsidP="00312FDA">
      <w:pPr>
        <w:pStyle w:val="a3"/>
        <w:rPr>
          <w:rtl/>
        </w:rPr>
      </w:pPr>
      <w:r w:rsidRPr="00EF744D">
        <w:rPr>
          <w:rStyle w:val="a5"/>
        </w:rPr>
        <w:footnoteRef/>
      </w:r>
      <w:r w:rsidRPr="00EF744D">
        <w:rPr>
          <w:rtl/>
        </w:rPr>
        <w:t xml:space="preserve"> </w:t>
      </w:r>
      <w:r w:rsidR="00CC163E">
        <w:rPr>
          <w:rFonts w:hint="cs"/>
          <w:rtl/>
        </w:rPr>
        <w:tab/>
      </w:r>
      <w:r w:rsidR="00CC163E">
        <w:rPr>
          <w:rFonts w:hint="cs"/>
          <w:rtl/>
        </w:rPr>
        <w:tab/>
      </w:r>
      <w:r w:rsidRPr="00CE45C7">
        <w:rPr>
          <w:rFonts w:hint="cs"/>
          <w:rtl/>
        </w:rPr>
        <w:t xml:space="preserve">אליאב </w:t>
      </w:r>
      <w:proofErr w:type="spellStart"/>
      <w:r w:rsidRPr="00CE45C7">
        <w:rPr>
          <w:rFonts w:hint="cs"/>
          <w:rtl/>
        </w:rPr>
        <w:t>שוחטמן</w:t>
      </w:r>
      <w:proofErr w:type="spellEnd"/>
      <w:r w:rsidRPr="00CE45C7">
        <w:rPr>
          <w:rFonts w:hint="cs"/>
          <w:rtl/>
        </w:rPr>
        <w:t xml:space="preserve">, </w:t>
      </w:r>
      <w:r w:rsidRPr="00CE45C7">
        <w:rPr>
          <w:rFonts w:hint="cs"/>
          <w:b/>
          <w:bCs/>
          <w:rtl/>
        </w:rPr>
        <w:t>סדר הדין בבית הדין הרבני</w:t>
      </w:r>
      <w:r w:rsidRPr="00FA7269">
        <w:rPr>
          <w:rFonts w:hint="cs"/>
          <w:rtl/>
        </w:rPr>
        <w:t xml:space="preserve"> ירושלים תשע"א 536 (להלן: </w:t>
      </w:r>
      <w:proofErr w:type="spellStart"/>
      <w:r w:rsidRPr="00FA7269">
        <w:rPr>
          <w:rFonts w:hint="cs"/>
          <w:rtl/>
        </w:rPr>
        <w:t>שוחטמן</w:t>
      </w:r>
      <w:proofErr w:type="spellEnd"/>
      <w:r w:rsidRPr="00FA7269">
        <w:rPr>
          <w:rFonts w:hint="cs"/>
          <w:rtl/>
        </w:rPr>
        <w:t>, סדר הדין).</w:t>
      </w:r>
    </w:p>
  </w:footnote>
  <w:footnote w:id="9">
    <w:p w:rsidR="00AB65E2" w:rsidRPr="00FA7269" w:rsidRDefault="00AB65E2" w:rsidP="00AB65E2">
      <w:pPr>
        <w:pStyle w:val="a3"/>
        <w:rPr>
          <w:rtl/>
        </w:rPr>
      </w:pPr>
      <w:r w:rsidRPr="00FA7269">
        <w:rPr>
          <w:rStyle w:val="a5"/>
        </w:rPr>
        <w:footnoteRef/>
      </w:r>
      <w:r w:rsidRPr="00FA7269">
        <w:rPr>
          <w:rtl/>
        </w:rPr>
        <w:t xml:space="preserve"> </w:t>
      </w:r>
      <w:r w:rsidR="00CC163E">
        <w:rPr>
          <w:rFonts w:hint="cs"/>
          <w:rtl/>
        </w:rPr>
        <w:tab/>
      </w:r>
      <w:r w:rsidR="00CC163E">
        <w:rPr>
          <w:rFonts w:hint="cs"/>
          <w:rtl/>
        </w:rPr>
        <w:tab/>
      </w:r>
      <w:r w:rsidRPr="00FA7269">
        <w:rPr>
          <w:rFonts w:hint="cs"/>
          <w:rtl/>
        </w:rPr>
        <w:t xml:space="preserve">מובא אצל שמחה אסף, </w:t>
      </w:r>
      <w:r w:rsidRPr="00FA7269">
        <w:rPr>
          <w:rtl/>
        </w:rPr>
        <w:t xml:space="preserve">"לסדרי בתי הדין באשכנז" </w:t>
      </w:r>
      <w:r w:rsidRPr="00FA7269">
        <w:rPr>
          <w:b/>
          <w:bCs/>
          <w:rtl/>
        </w:rPr>
        <w:t>המשפט העברי</w:t>
      </w:r>
      <w:r w:rsidRPr="00FA7269">
        <w:rPr>
          <w:rtl/>
        </w:rPr>
        <w:t xml:space="preserve"> א (</w:t>
      </w:r>
      <w:r w:rsidRPr="00FA7269">
        <w:rPr>
          <w:rFonts w:hint="cs"/>
          <w:rtl/>
        </w:rPr>
        <w:t xml:space="preserve">תל אביב, </w:t>
      </w:r>
      <w:r w:rsidRPr="00FA7269">
        <w:rPr>
          <w:rtl/>
        </w:rPr>
        <w:t>תרפ"ו) 105, 113</w:t>
      </w:r>
      <w:r w:rsidRPr="00FA7269">
        <w:rPr>
          <w:rFonts w:hint="cs"/>
          <w:rtl/>
        </w:rPr>
        <w:t>.</w:t>
      </w:r>
    </w:p>
  </w:footnote>
  <w:footnote w:id="10">
    <w:p w:rsidR="00AB65E2" w:rsidRPr="00FA7269" w:rsidRDefault="00AB65E2" w:rsidP="00AB65E2">
      <w:pPr>
        <w:pStyle w:val="a3"/>
        <w:rPr>
          <w:rtl/>
        </w:rPr>
      </w:pPr>
      <w:r w:rsidRPr="00FA7269">
        <w:rPr>
          <w:rStyle w:val="a5"/>
        </w:rPr>
        <w:footnoteRef/>
      </w:r>
      <w:r w:rsidRPr="00FA7269">
        <w:rPr>
          <w:rtl/>
        </w:rPr>
        <w:t xml:space="preserve"> </w:t>
      </w:r>
      <w:r w:rsidR="00CC163E">
        <w:rPr>
          <w:rFonts w:hint="cs"/>
          <w:rtl/>
        </w:rPr>
        <w:tab/>
      </w:r>
      <w:r w:rsidR="00CC163E">
        <w:rPr>
          <w:rFonts w:hint="cs"/>
          <w:rtl/>
        </w:rPr>
        <w:tab/>
      </w:r>
      <w:r w:rsidRPr="00FA7269">
        <w:rPr>
          <w:rFonts w:hint="cs"/>
          <w:rtl/>
        </w:rPr>
        <w:t>שם.</w:t>
      </w:r>
    </w:p>
  </w:footnote>
  <w:footnote w:id="11">
    <w:p w:rsidR="00AB65E2" w:rsidRPr="00FA7269" w:rsidRDefault="00AB65E2" w:rsidP="00AB65E2">
      <w:pPr>
        <w:pStyle w:val="a3"/>
      </w:pPr>
      <w:r w:rsidRPr="00FA7269">
        <w:rPr>
          <w:rStyle w:val="a5"/>
        </w:rPr>
        <w:footnoteRef/>
      </w:r>
      <w:r w:rsidRPr="00FA7269">
        <w:rPr>
          <w:rtl/>
        </w:rPr>
        <w:t xml:space="preserve"> </w:t>
      </w:r>
      <w:r w:rsidR="00CC163E">
        <w:rPr>
          <w:rFonts w:hint="cs"/>
          <w:rtl/>
        </w:rPr>
        <w:tab/>
      </w:r>
      <w:r w:rsidRPr="00FA7269">
        <w:rPr>
          <w:rFonts w:hint="cs"/>
          <w:rtl/>
        </w:rPr>
        <w:t>לא למותר לציין, שבתקנות הדיון בבתי הדין הרבניים בישראל משנת תש"ג (תקנה לה), נקבע ש"הדיון בפני בית הדין מתנהל בפומבי", אך "בשעת בירור דברים שבצנעה, וכל אימת שבית הדין מוצא כי הבירור בפומבי עלול לגרום להפרעת הסדר או לשערורי</w:t>
      </w:r>
      <w:r>
        <w:rPr>
          <w:rFonts w:hint="cs"/>
          <w:rtl/>
        </w:rPr>
        <w:t>י</w:t>
      </w:r>
      <w:r w:rsidRPr="00FA7269">
        <w:rPr>
          <w:rFonts w:hint="cs"/>
          <w:rtl/>
        </w:rPr>
        <w:t xml:space="preserve">ה, הרשות ביד בית הדין לנהל את הדיון בדלתיים סגורות". על תקנה זו העיר הרב יהושע </w:t>
      </w:r>
      <w:proofErr w:type="spellStart"/>
      <w:r w:rsidRPr="00FA7269">
        <w:rPr>
          <w:rFonts w:hint="cs"/>
          <w:rtl/>
        </w:rPr>
        <w:t>קניאל</w:t>
      </w:r>
      <w:proofErr w:type="spellEnd"/>
      <w:r w:rsidRPr="00FA7269">
        <w:rPr>
          <w:rFonts w:hint="cs"/>
          <w:rtl/>
        </w:rPr>
        <w:t>, שיש לקבוע בצורה מפורשת, שבענייני אישות לא יחול הכלל בדבר פומביות הדיון, משום ש"ברוב המקרים יש בהם דברים שבצנעה, וגם הברור הפומבי מרחיב את הקרע במשפחה במקום שיש עוד סיכויים לשלום" (</w:t>
      </w:r>
      <w:proofErr w:type="spellStart"/>
      <w:r w:rsidRPr="00FA7269">
        <w:rPr>
          <w:rFonts w:hint="cs"/>
          <w:b/>
          <w:bCs/>
          <w:rtl/>
        </w:rPr>
        <w:t>שוחטמן</w:t>
      </w:r>
      <w:proofErr w:type="spellEnd"/>
      <w:r w:rsidRPr="00FA7269">
        <w:rPr>
          <w:rFonts w:hint="cs"/>
          <w:b/>
          <w:bCs/>
          <w:rtl/>
        </w:rPr>
        <w:t>, סדר הדין</w:t>
      </w:r>
      <w:r w:rsidRPr="00FA7269">
        <w:rPr>
          <w:rFonts w:hint="cs"/>
          <w:rtl/>
        </w:rPr>
        <w:t xml:space="preserve"> עמ' 539, הערה 36). ואולם, הרב עוזיאל דחה הצעה זו באומרו ש"זה נכלל בכלל הרשות ביד בית הדין" (שם). </w:t>
      </w:r>
    </w:p>
  </w:footnote>
  <w:footnote w:id="12">
    <w:p w:rsidR="00484DFD" w:rsidRPr="00FA7269" w:rsidRDefault="00484DFD" w:rsidP="00484DFD">
      <w:pPr>
        <w:pStyle w:val="a3"/>
      </w:pPr>
      <w:r w:rsidRPr="00EF744D">
        <w:rPr>
          <w:rStyle w:val="a5"/>
        </w:rPr>
        <w:footnoteRef/>
      </w:r>
      <w:r w:rsidRPr="00EF744D">
        <w:rPr>
          <w:rtl/>
        </w:rPr>
        <w:t xml:space="preserve"> </w:t>
      </w:r>
      <w:r w:rsidR="00CC163E">
        <w:rPr>
          <w:rFonts w:hint="cs"/>
          <w:rtl/>
        </w:rPr>
        <w:tab/>
      </w:r>
      <w:r w:rsidRPr="00CE45C7">
        <w:rPr>
          <w:rFonts w:hint="cs"/>
          <w:rtl/>
        </w:rPr>
        <w:t xml:space="preserve">וראו </w:t>
      </w:r>
      <w:proofErr w:type="spellStart"/>
      <w:r w:rsidRPr="00CE45C7">
        <w:rPr>
          <w:rFonts w:hint="cs"/>
          <w:b/>
          <w:bCs/>
          <w:rtl/>
        </w:rPr>
        <w:t>מלבי"ם</w:t>
      </w:r>
      <w:proofErr w:type="spellEnd"/>
      <w:r w:rsidRPr="00FA7269">
        <w:rPr>
          <w:rFonts w:hint="cs"/>
          <w:rtl/>
        </w:rPr>
        <w:t xml:space="preserve"> שם, ביאור </w:t>
      </w:r>
      <w:proofErr w:type="spellStart"/>
      <w:r w:rsidRPr="00FA7269">
        <w:rPr>
          <w:rFonts w:hint="cs"/>
          <w:rtl/>
        </w:rPr>
        <w:t>המילות</w:t>
      </w:r>
      <w:proofErr w:type="spellEnd"/>
      <w:r w:rsidRPr="00FA7269">
        <w:rPr>
          <w:rFonts w:hint="cs"/>
          <w:rtl/>
        </w:rPr>
        <w:t>: "גדול בכמות, ואדיר באיכות").</w:t>
      </w:r>
    </w:p>
  </w:footnote>
  <w:footnote w:id="13">
    <w:p w:rsidR="00484DFD" w:rsidRPr="00FA7269" w:rsidRDefault="00484DFD" w:rsidP="00484DFD">
      <w:pPr>
        <w:pStyle w:val="a3"/>
      </w:pPr>
      <w:r w:rsidRPr="00FA7269">
        <w:rPr>
          <w:rStyle w:val="a5"/>
        </w:rPr>
        <w:footnoteRef/>
      </w:r>
      <w:r w:rsidRPr="00FA7269">
        <w:rPr>
          <w:rtl/>
        </w:rPr>
        <w:t xml:space="preserve"> </w:t>
      </w:r>
      <w:r w:rsidR="00CC163E">
        <w:rPr>
          <w:rFonts w:hint="cs"/>
          <w:b/>
          <w:bCs/>
          <w:rtl/>
        </w:rPr>
        <w:tab/>
      </w:r>
      <w:r w:rsidRPr="00FA7269">
        <w:rPr>
          <w:b/>
          <w:bCs/>
          <w:rtl/>
        </w:rPr>
        <w:t>משפטי עוזיאל</w:t>
      </w:r>
      <w:r w:rsidRPr="00FA7269">
        <w:rPr>
          <w:rFonts w:hint="cs"/>
          <w:rtl/>
        </w:rPr>
        <w:t xml:space="preserve"> ג, ו.</w:t>
      </w:r>
    </w:p>
  </w:footnote>
  <w:footnote w:id="14">
    <w:p w:rsidR="0021275E" w:rsidRPr="00FA7269" w:rsidRDefault="0021275E" w:rsidP="0021275E">
      <w:pPr>
        <w:pStyle w:val="a3"/>
      </w:pPr>
      <w:r w:rsidRPr="00FA7269">
        <w:rPr>
          <w:rStyle w:val="a5"/>
        </w:rPr>
        <w:footnoteRef/>
      </w:r>
      <w:r w:rsidRPr="00FA7269">
        <w:rPr>
          <w:rtl/>
        </w:rPr>
        <w:t xml:space="preserve"> </w:t>
      </w:r>
      <w:r w:rsidR="00CC163E">
        <w:rPr>
          <w:rFonts w:hint="cs"/>
          <w:rtl/>
        </w:rPr>
        <w:tab/>
      </w:r>
      <w:r w:rsidRPr="00FA7269">
        <w:rPr>
          <w:rFonts w:hint="cs"/>
          <w:rtl/>
        </w:rPr>
        <w:t xml:space="preserve">ערעור </w:t>
      </w:r>
      <w:proofErr w:type="spellStart"/>
      <w:r w:rsidRPr="00FA7269">
        <w:rPr>
          <w:rFonts w:hint="cs"/>
          <w:rtl/>
        </w:rPr>
        <w:t>תש"ן</w:t>
      </w:r>
      <w:proofErr w:type="spellEnd"/>
      <w:r w:rsidRPr="00FA7269">
        <w:rPr>
          <w:rFonts w:hint="cs"/>
          <w:rtl/>
        </w:rPr>
        <w:t xml:space="preserve">/128, 327 (לא פורסם, מובא אצל </w:t>
      </w:r>
      <w:proofErr w:type="spellStart"/>
      <w:r w:rsidRPr="00FA7269">
        <w:rPr>
          <w:rFonts w:hint="cs"/>
          <w:b/>
          <w:bCs/>
          <w:rtl/>
        </w:rPr>
        <w:t>שוחטמן</w:t>
      </w:r>
      <w:proofErr w:type="spellEnd"/>
      <w:r w:rsidRPr="00FA7269">
        <w:rPr>
          <w:rFonts w:hint="cs"/>
          <w:b/>
          <w:bCs/>
          <w:rtl/>
        </w:rPr>
        <w:t>, סדר הדין</w:t>
      </w:r>
      <w:r w:rsidRPr="00FA7269">
        <w:rPr>
          <w:rFonts w:hint="cs"/>
          <w:rtl/>
        </w:rPr>
        <w:t xml:space="preserve"> עמ' 541).</w:t>
      </w:r>
    </w:p>
  </w:footnote>
  <w:footnote w:id="15">
    <w:p w:rsidR="0021275E" w:rsidRPr="00FA7269" w:rsidRDefault="0021275E" w:rsidP="0021275E">
      <w:pPr>
        <w:pStyle w:val="a3"/>
        <w:rPr>
          <w:rtl/>
        </w:rPr>
      </w:pPr>
      <w:r w:rsidRPr="00FA7269">
        <w:rPr>
          <w:rStyle w:val="a5"/>
        </w:rPr>
        <w:footnoteRef/>
      </w:r>
      <w:r w:rsidRPr="00FA7269">
        <w:rPr>
          <w:rtl/>
        </w:rPr>
        <w:t xml:space="preserve"> </w:t>
      </w:r>
      <w:r w:rsidR="00CC163E">
        <w:rPr>
          <w:rFonts w:hint="cs"/>
          <w:rtl/>
        </w:rPr>
        <w:tab/>
      </w:r>
      <w:r w:rsidRPr="00FA7269">
        <w:rPr>
          <w:rFonts w:hint="cs"/>
          <w:rtl/>
        </w:rPr>
        <w:t>שם.</w:t>
      </w:r>
    </w:p>
  </w:footnote>
  <w:footnote w:id="16">
    <w:p w:rsidR="008105F9" w:rsidRDefault="008105F9" w:rsidP="00E60898">
      <w:pPr>
        <w:pStyle w:val="a3"/>
        <w:rPr>
          <w:rtl/>
        </w:rPr>
      </w:pPr>
      <w:r>
        <w:rPr>
          <w:rStyle w:val="a5"/>
        </w:rPr>
        <w:footnoteRef/>
      </w:r>
      <w:r>
        <w:rPr>
          <w:rtl/>
        </w:rPr>
        <w:t xml:space="preserve"> </w:t>
      </w:r>
      <w:r w:rsidR="005A23C6">
        <w:rPr>
          <w:rFonts w:hint="cs"/>
          <w:rtl/>
        </w:rPr>
        <w:tab/>
        <w:t xml:space="preserve">ראו </w:t>
      </w:r>
      <w:r w:rsidR="005A23C6" w:rsidRPr="005A23C6">
        <w:rPr>
          <w:rtl/>
        </w:rPr>
        <w:t xml:space="preserve">שמואל גליק, "על שינויים, השמטות וצנזורה פנימית בספרי שאלות ותשובות", </w:t>
      </w:r>
      <w:proofErr w:type="spellStart"/>
      <w:r w:rsidR="005A23C6" w:rsidRPr="005A23C6">
        <w:rPr>
          <w:b/>
          <w:bCs/>
        </w:rPr>
        <w:t>Quntres</w:t>
      </w:r>
      <w:proofErr w:type="spellEnd"/>
      <w:r w:rsidR="005A23C6" w:rsidRPr="005A23C6">
        <w:t xml:space="preserve"> Vol 1, No 1 (2009</w:t>
      </w:r>
      <w:r w:rsidR="005A23C6">
        <w:t>), 63-67</w:t>
      </w:r>
      <w:r w:rsidR="005A23C6" w:rsidRPr="005A23C6">
        <w:rPr>
          <w:rtl/>
        </w:rPr>
        <w:t xml:space="preserve">. </w:t>
      </w:r>
      <w:r w:rsidR="005A23C6">
        <w:rPr>
          <w:rFonts w:hint="cs"/>
          <w:rtl/>
        </w:rPr>
        <w:t>(המא</w:t>
      </w:r>
      <w:r w:rsidR="005A23C6" w:rsidRPr="005A23C6">
        <w:rPr>
          <w:rtl/>
        </w:rPr>
        <w:t xml:space="preserve">מר זמין בכתובת </w:t>
      </w:r>
      <w:hyperlink r:id="rId1" w:history="1">
        <w:r w:rsidR="00E60898" w:rsidRPr="00C10328">
          <w:rPr>
            <w:rStyle w:val="Hyperlink"/>
          </w:rPr>
          <w:t>https://taljournal.jtsa.edu/index.php/quntres/article/viewFile/40/8</w:t>
        </w:r>
      </w:hyperlink>
      <w:r w:rsidR="005A23C6">
        <w:rPr>
          <w:rFonts w:hint="cs"/>
          <w:rtl/>
        </w:rPr>
        <w:t>)</w:t>
      </w:r>
      <w:r w:rsidR="00E60898">
        <w:rPr>
          <w:rFonts w:hint="cs"/>
          <w:rtl/>
        </w:rPr>
        <w:t xml:space="preserve"> דוגמא לכך ניתן למצוא בגלגוליה של התשובה </w:t>
      </w:r>
      <w:proofErr w:type="spellStart"/>
      <w:r w:rsidR="00E60898">
        <w:rPr>
          <w:rFonts w:hint="cs"/>
          <w:rtl/>
        </w:rPr>
        <w:t>ש</w:t>
      </w:r>
      <w:r w:rsidR="00E60898" w:rsidRPr="00FA7269">
        <w:rPr>
          <w:rFonts w:hint="cs"/>
          <w:rtl/>
        </w:rPr>
        <w:t>ב</w:t>
      </w:r>
      <w:r w:rsidR="00E60898" w:rsidRPr="00FA7269">
        <w:rPr>
          <w:rFonts w:hint="cs"/>
          <w:b/>
          <w:bCs/>
          <w:rtl/>
        </w:rPr>
        <w:t>שו"ת</w:t>
      </w:r>
      <w:proofErr w:type="spellEnd"/>
      <w:r w:rsidR="00E60898" w:rsidRPr="00FA7269">
        <w:rPr>
          <w:rFonts w:hint="cs"/>
          <w:b/>
          <w:bCs/>
          <w:rtl/>
        </w:rPr>
        <w:t xml:space="preserve"> נודע ביהודה קמא</w:t>
      </w:r>
      <w:r w:rsidR="00E60898" w:rsidRPr="00FA7269">
        <w:rPr>
          <w:rFonts w:hint="cs"/>
          <w:rtl/>
        </w:rPr>
        <w:t xml:space="preserve"> </w:t>
      </w:r>
      <w:proofErr w:type="spellStart"/>
      <w:r w:rsidR="00E60898" w:rsidRPr="00FA7269">
        <w:rPr>
          <w:rFonts w:hint="cs"/>
          <w:rtl/>
        </w:rPr>
        <w:t>אה"ע</w:t>
      </w:r>
      <w:proofErr w:type="spellEnd"/>
      <w:r w:rsidR="00E60898" w:rsidRPr="00FA7269">
        <w:rPr>
          <w:rFonts w:hint="cs"/>
          <w:rtl/>
        </w:rPr>
        <w:t>, עב</w:t>
      </w:r>
      <w:r w:rsidR="00E60898">
        <w:rPr>
          <w:rFonts w:hint="cs"/>
          <w:rtl/>
        </w:rPr>
        <w:t>.</w:t>
      </w:r>
      <w:r w:rsidR="00E60898" w:rsidRPr="00FA7269">
        <w:rPr>
          <w:rFonts w:hint="cs"/>
          <w:rtl/>
        </w:rPr>
        <w:t xml:space="preserve"> </w:t>
      </w:r>
      <w:r w:rsidR="00E60898">
        <w:rPr>
          <w:rFonts w:hint="cs"/>
          <w:rtl/>
        </w:rPr>
        <w:t xml:space="preserve">התשובה עסקה </w:t>
      </w:r>
      <w:r w:rsidR="00E60898" w:rsidRPr="00FA7269">
        <w:rPr>
          <w:rFonts w:hint="cs"/>
          <w:rtl/>
        </w:rPr>
        <w:t>באשת איש שזינתה</w:t>
      </w:r>
      <w:r w:rsidR="00E60898">
        <w:rPr>
          <w:rFonts w:hint="cs"/>
          <w:rtl/>
        </w:rPr>
        <w:t xml:space="preserve">, והיא כללה </w:t>
      </w:r>
      <w:r w:rsidR="00E60898" w:rsidRPr="00FA7269">
        <w:rPr>
          <w:rFonts w:hint="cs"/>
          <w:rtl/>
        </w:rPr>
        <w:t xml:space="preserve">פרטים מדויקים וגביית עדות. במהדורה הראשונה (פראג תקל"ו) שהודפסה בחיי המחבר הופיעה התשובה בשלמותה, אך במהדורת </w:t>
      </w:r>
      <w:proofErr w:type="spellStart"/>
      <w:r w:rsidR="00E60898" w:rsidRPr="00FA7269">
        <w:rPr>
          <w:rFonts w:hint="cs"/>
          <w:rtl/>
        </w:rPr>
        <w:t>זאלקווה</w:t>
      </w:r>
      <w:proofErr w:type="spellEnd"/>
      <w:r w:rsidR="00E60898" w:rsidRPr="00FA7269">
        <w:rPr>
          <w:rFonts w:hint="cs"/>
          <w:rtl/>
        </w:rPr>
        <w:t xml:space="preserve"> תקפ"ג הושמטה השאלה וגביית העדות, והודפ</w:t>
      </w:r>
      <w:r w:rsidR="00E60898">
        <w:rPr>
          <w:rFonts w:hint="cs"/>
          <w:rtl/>
        </w:rPr>
        <w:t>ס</w:t>
      </w:r>
      <w:r w:rsidR="00E60898" w:rsidRPr="00FA7269">
        <w:rPr>
          <w:rFonts w:hint="cs"/>
          <w:rtl/>
        </w:rPr>
        <w:t xml:space="preserve">ה רק התשובה ההלכתית. </w:t>
      </w:r>
      <w:proofErr w:type="spellStart"/>
      <w:r w:rsidR="00E60898" w:rsidRPr="00FA7269">
        <w:rPr>
          <w:rFonts w:hint="cs"/>
          <w:rtl/>
        </w:rPr>
        <w:t>ויינגרטן</w:t>
      </w:r>
      <w:proofErr w:type="spellEnd"/>
      <w:r w:rsidR="00E60898" w:rsidRPr="00FA7269">
        <w:rPr>
          <w:rFonts w:hint="cs"/>
          <w:rtl/>
        </w:rPr>
        <w:t xml:space="preserve"> מביא בהקשר זה מקורות המעידים על כך שההשמטה באה בעקבות לחץ של בני משפחת האישה שהתשובה עוסקת בעניינה, שהופעל כלפי הצנזור, להשמיט מן התשובה פרטים מזהים. ואולם, במהדורות מאוחרות יותר הובאה שוב התשובה בשלמותה</w:t>
      </w:r>
      <w:r w:rsidR="00E60898">
        <w:rPr>
          <w:rFonts w:hint="cs"/>
          <w:rtl/>
        </w:rPr>
        <w:t xml:space="preserve"> (ראו </w:t>
      </w:r>
      <w:r w:rsidR="005958F2" w:rsidRPr="00FA7269">
        <w:rPr>
          <w:rFonts w:hint="cs"/>
          <w:rtl/>
        </w:rPr>
        <w:t xml:space="preserve">ש"ה </w:t>
      </w:r>
      <w:proofErr w:type="spellStart"/>
      <w:r w:rsidR="005958F2" w:rsidRPr="00FA7269">
        <w:rPr>
          <w:rFonts w:hint="cs"/>
          <w:rtl/>
        </w:rPr>
        <w:t>וינגרטן</w:t>
      </w:r>
      <w:proofErr w:type="spellEnd"/>
      <w:r w:rsidR="005958F2" w:rsidRPr="00FA7269">
        <w:rPr>
          <w:rFonts w:hint="cs"/>
          <w:rtl/>
        </w:rPr>
        <w:t xml:space="preserve">, "תשובות שנגנזו" </w:t>
      </w:r>
      <w:r w:rsidR="005958F2" w:rsidRPr="00FA7269">
        <w:rPr>
          <w:rFonts w:hint="cs"/>
          <w:b/>
          <w:bCs/>
          <w:rtl/>
        </w:rPr>
        <w:t>סיני</w:t>
      </w:r>
      <w:r w:rsidR="005958F2" w:rsidRPr="00FA7269">
        <w:rPr>
          <w:rFonts w:hint="cs"/>
          <w:rtl/>
        </w:rPr>
        <w:t xml:space="preserve"> יד (תשי"א) צ-</w:t>
      </w:r>
      <w:proofErr w:type="spellStart"/>
      <w:r w:rsidR="005958F2" w:rsidRPr="00FA7269">
        <w:rPr>
          <w:rFonts w:hint="cs"/>
          <w:rtl/>
        </w:rPr>
        <w:t>צט</w:t>
      </w:r>
      <w:proofErr w:type="spellEnd"/>
      <w:r w:rsidR="005958F2">
        <w:rPr>
          <w:rFonts w:hint="cs"/>
          <w:rtl/>
        </w:rPr>
        <w:t>)</w:t>
      </w:r>
      <w:r w:rsidR="00E60898" w:rsidRPr="00FA7269">
        <w:rPr>
          <w:rFonts w:hint="cs"/>
          <w:rtl/>
        </w:rPr>
        <w:t xml:space="preserve">.  </w:t>
      </w:r>
    </w:p>
  </w:footnote>
  <w:footnote w:id="17">
    <w:p w:rsidR="00094282" w:rsidRDefault="00094282" w:rsidP="00D53D27">
      <w:pPr>
        <w:pStyle w:val="a3"/>
        <w:rPr>
          <w:rtl/>
        </w:rPr>
      </w:pPr>
      <w:r>
        <w:rPr>
          <w:rStyle w:val="a5"/>
        </w:rPr>
        <w:footnoteRef/>
      </w:r>
      <w:r>
        <w:rPr>
          <w:rtl/>
        </w:rPr>
        <w:t xml:space="preserve"> </w:t>
      </w:r>
      <w:r w:rsidR="00D53D27">
        <w:rPr>
          <w:rFonts w:hint="cs"/>
          <w:rtl/>
        </w:rPr>
        <w:tab/>
      </w:r>
      <w:r w:rsidRPr="00CC163E">
        <w:rPr>
          <w:rFonts w:hint="cs"/>
          <w:b/>
          <w:bCs/>
          <w:rtl/>
        </w:rPr>
        <w:t>משנה</w:t>
      </w:r>
      <w:r>
        <w:rPr>
          <w:rFonts w:hint="cs"/>
          <w:rtl/>
        </w:rPr>
        <w:t xml:space="preserve"> סנהדרין ג, ז. מהלכה זו הסיק </w:t>
      </w:r>
      <w:proofErr w:type="spellStart"/>
      <w:r>
        <w:rPr>
          <w:rFonts w:hint="cs"/>
          <w:rtl/>
        </w:rPr>
        <w:t>מוסקוביץ</w:t>
      </w:r>
      <w:proofErr w:type="spellEnd"/>
      <w:r>
        <w:rPr>
          <w:rFonts w:hint="cs"/>
          <w:rtl/>
        </w:rPr>
        <w:t>', ש</w:t>
      </w:r>
      <w:r w:rsidR="00643CFC" w:rsidRPr="00094282">
        <w:rPr>
          <w:rtl/>
        </w:rPr>
        <w:t>"מושג פומביות הדיון הוא מצומצם מאוד במשפט העברי"</w:t>
      </w:r>
      <w:r w:rsidR="00643CFC">
        <w:rPr>
          <w:rFonts w:hint="cs"/>
          <w:rtl/>
        </w:rPr>
        <w:t xml:space="preserve"> (תומר </w:t>
      </w:r>
      <w:proofErr w:type="spellStart"/>
      <w:r w:rsidR="00643CFC">
        <w:rPr>
          <w:rFonts w:hint="cs"/>
          <w:rtl/>
        </w:rPr>
        <w:t>מוסקוביץ</w:t>
      </w:r>
      <w:proofErr w:type="spellEnd"/>
      <w:r w:rsidR="00643CFC">
        <w:rPr>
          <w:rFonts w:hint="cs"/>
          <w:rtl/>
        </w:rPr>
        <w:t xml:space="preserve">', </w:t>
      </w:r>
      <w:r w:rsidR="00643CFC" w:rsidRPr="00643CFC">
        <w:rPr>
          <w:rtl/>
        </w:rPr>
        <w:t>"ההגנה על הפרטיות בפרסומי בתי המשפט – האם ראוי לפרסם שמות בפסקי דין</w:t>
      </w:r>
      <w:r w:rsidR="00643CFC">
        <w:rPr>
          <w:rFonts w:hint="cs"/>
          <w:rtl/>
        </w:rPr>
        <w:t>?</w:t>
      </w:r>
      <w:r w:rsidR="00643CFC" w:rsidRPr="00643CFC">
        <w:rPr>
          <w:rtl/>
        </w:rPr>
        <w:t xml:space="preserve">" </w:t>
      </w:r>
      <w:r w:rsidR="00643CFC" w:rsidRPr="00CC163E">
        <w:rPr>
          <w:b/>
          <w:bCs/>
          <w:rtl/>
        </w:rPr>
        <w:t>משפטים</w:t>
      </w:r>
      <w:r w:rsidR="00643CFC" w:rsidRPr="00643CFC">
        <w:rPr>
          <w:rtl/>
        </w:rPr>
        <w:t xml:space="preserve"> </w:t>
      </w:r>
      <w:proofErr w:type="spellStart"/>
      <w:r w:rsidR="00643CFC" w:rsidRPr="00643CFC">
        <w:rPr>
          <w:rtl/>
        </w:rPr>
        <w:t>יח</w:t>
      </w:r>
      <w:proofErr w:type="spellEnd"/>
      <w:r w:rsidR="00643CFC" w:rsidRPr="00643CFC">
        <w:rPr>
          <w:rtl/>
        </w:rPr>
        <w:t xml:space="preserve"> (תשמ"ט) 431</w:t>
      </w:r>
      <w:r w:rsidR="00D53D27">
        <w:rPr>
          <w:rFonts w:hint="cs"/>
          <w:rtl/>
        </w:rPr>
        <w:t xml:space="preserve">, </w:t>
      </w:r>
      <w:r w:rsidRPr="00094282">
        <w:rPr>
          <w:rtl/>
        </w:rPr>
        <w:t>442</w:t>
      </w:r>
      <w:r w:rsidR="00643CFC">
        <w:rPr>
          <w:rFonts w:hint="cs"/>
          <w:rtl/>
        </w:rPr>
        <w:t>). לטעמנו, זוהי מסקנה גורפת מדי כאשר הבסיס לה הוא אך ורק דברי המשנה הנ"ל.</w:t>
      </w:r>
    </w:p>
  </w:footnote>
  <w:footnote w:id="18">
    <w:p w:rsidR="00FE3BA9" w:rsidRDefault="00FE3BA9">
      <w:pPr>
        <w:pStyle w:val="a3"/>
      </w:pPr>
      <w:r>
        <w:rPr>
          <w:rStyle w:val="a5"/>
        </w:rPr>
        <w:footnoteRef/>
      </w:r>
      <w:r>
        <w:rPr>
          <w:rtl/>
        </w:rPr>
        <w:t xml:space="preserve"> </w:t>
      </w:r>
      <w:r>
        <w:rPr>
          <w:rFonts w:hint="cs"/>
          <w:rtl/>
        </w:rPr>
        <w:tab/>
      </w:r>
      <w:r>
        <w:rPr>
          <w:rFonts w:hint="cs"/>
          <w:rtl/>
        </w:rPr>
        <w:tab/>
      </w:r>
      <w:r w:rsidRPr="00FE3BA9">
        <w:rPr>
          <w:rFonts w:hint="cs"/>
          <w:spacing w:val="-4"/>
          <w:rtl/>
        </w:rPr>
        <w:t xml:space="preserve">ראו: ש"ה </w:t>
      </w:r>
      <w:proofErr w:type="spellStart"/>
      <w:r w:rsidRPr="00FE3BA9">
        <w:rPr>
          <w:rFonts w:hint="cs"/>
          <w:spacing w:val="-4"/>
          <w:rtl/>
        </w:rPr>
        <w:t>וינגרטן</w:t>
      </w:r>
      <w:proofErr w:type="spellEnd"/>
      <w:r w:rsidRPr="00FE3BA9">
        <w:rPr>
          <w:rFonts w:hint="cs"/>
          <w:spacing w:val="-4"/>
          <w:rtl/>
        </w:rPr>
        <w:t xml:space="preserve">, "תשובות שנגנזו" </w:t>
      </w:r>
      <w:r w:rsidRPr="00CC163E">
        <w:rPr>
          <w:rFonts w:hint="cs"/>
          <w:b/>
          <w:bCs/>
          <w:spacing w:val="-4"/>
          <w:rtl/>
        </w:rPr>
        <w:t>סיני</w:t>
      </w:r>
      <w:r w:rsidRPr="00FE3BA9">
        <w:rPr>
          <w:rFonts w:hint="cs"/>
          <w:spacing w:val="-4"/>
          <w:rtl/>
        </w:rPr>
        <w:t xml:space="preserve"> יד (תשי"א) צ-</w:t>
      </w:r>
      <w:proofErr w:type="spellStart"/>
      <w:r w:rsidRPr="00FE3BA9">
        <w:rPr>
          <w:rFonts w:hint="cs"/>
          <w:spacing w:val="-4"/>
          <w:rtl/>
        </w:rPr>
        <w:t>צט</w:t>
      </w:r>
      <w:proofErr w:type="spellEnd"/>
      <w:r w:rsidR="0020491A">
        <w:rPr>
          <w:rFonts w:hint="cs"/>
          <w:rtl/>
        </w:rPr>
        <w:t xml:space="preserve">. </w:t>
      </w:r>
      <w:r w:rsidR="0020491A">
        <w:rPr>
          <w:rFonts w:hint="cs"/>
          <w:rtl/>
        </w:rPr>
        <w:t xml:space="preserve">וראו דוגמאות נוספות להשמטת פסקי דין מטעמים דומים אצל גליק, לעיל הערה </w:t>
      </w:r>
      <w:r w:rsidR="0020491A">
        <w:rPr>
          <w:rtl/>
        </w:rPr>
        <w:fldChar w:fldCharType="begin"/>
      </w:r>
      <w:r w:rsidR="0020491A">
        <w:rPr>
          <w:rtl/>
        </w:rPr>
        <w:instrText xml:space="preserve"> </w:instrText>
      </w:r>
      <w:r w:rsidR="0020491A">
        <w:rPr>
          <w:rFonts w:hint="cs"/>
        </w:rPr>
        <w:instrText>NOTEREF</w:instrText>
      </w:r>
      <w:r w:rsidR="0020491A">
        <w:rPr>
          <w:rFonts w:hint="cs"/>
          <w:rtl/>
        </w:rPr>
        <w:instrText xml:space="preserve"> _</w:instrText>
      </w:r>
      <w:r w:rsidR="0020491A">
        <w:rPr>
          <w:rFonts w:hint="cs"/>
        </w:rPr>
        <w:instrText>Ref395538052 \h</w:instrText>
      </w:r>
      <w:r w:rsidR="0020491A">
        <w:rPr>
          <w:rtl/>
        </w:rPr>
        <w:instrText xml:space="preserve"> </w:instrText>
      </w:r>
      <w:r w:rsidR="0020491A">
        <w:rPr>
          <w:rtl/>
        </w:rPr>
      </w:r>
      <w:r w:rsidR="0020491A">
        <w:rPr>
          <w:rtl/>
        </w:rPr>
        <w:fldChar w:fldCharType="separate"/>
      </w:r>
      <w:r w:rsidR="0020491A">
        <w:rPr>
          <w:rtl/>
        </w:rPr>
        <w:t>16</w:t>
      </w:r>
      <w:r w:rsidR="0020491A">
        <w:rPr>
          <w:rtl/>
        </w:rPr>
        <w:fldChar w:fldCharType="end"/>
      </w:r>
      <w:r w:rsidR="0020491A">
        <w:rPr>
          <w:rFonts w:hint="cs"/>
          <w:rtl/>
        </w:rPr>
        <w:t xml:space="preserve">, עמ' </w:t>
      </w:r>
      <w:r w:rsidR="004D5964">
        <w:rPr>
          <w:rFonts w:hint="cs"/>
          <w:rtl/>
        </w:rPr>
        <w:t>76-67.</w:t>
      </w:r>
    </w:p>
  </w:footnote>
  <w:footnote w:id="19">
    <w:p w:rsidR="00F171A5" w:rsidRDefault="00F171A5" w:rsidP="00F171A5">
      <w:pPr>
        <w:pStyle w:val="a3"/>
      </w:pPr>
      <w:r>
        <w:rPr>
          <w:rStyle w:val="a5"/>
        </w:rPr>
        <w:footnoteRef/>
      </w:r>
      <w:r>
        <w:rPr>
          <w:rtl/>
        </w:rPr>
        <w:t xml:space="preserve"> </w:t>
      </w:r>
      <w:r w:rsidR="00C26B5D">
        <w:rPr>
          <w:rFonts w:hint="cs"/>
          <w:b/>
          <w:bCs/>
          <w:rtl/>
        </w:rPr>
        <w:tab/>
      </w:r>
      <w:r w:rsidRPr="00FA7269">
        <w:rPr>
          <w:rFonts w:hint="cs"/>
          <w:b/>
          <w:bCs/>
          <w:rtl/>
        </w:rPr>
        <w:t>שו"ת מלמד להועיל</w:t>
      </w:r>
      <w:r w:rsidRPr="00FA7269">
        <w:rPr>
          <w:rFonts w:hint="cs"/>
          <w:rtl/>
        </w:rPr>
        <w:t xml:space="preserve"> ב, נו</w:t>
      </w:r>
      <w:r>
        <w:rPr>
          <w:rFonts w:hint="cs"/>
          <w:rtl/>
        </w:rPr>
        <w:t>.</w:t>
      </w:r>
    </w:p>
  </w:footnote>
  <w:footnote w:id="20">
    <w:p w:rsidR="00C26B5D" w:rsidRDefault="00C26B5D" w:rsidP="00C26B5D">
      <w:pPr>
        <w:pStyle w:val="a3"/>
        <w:rPr>
          <w:rtl/>
        </w:rPr>
      </w:pPr>
      <w:r>
        <w:rPr>
          <w:rStyle w:val="a5"/>
        </w:rPr>
        <w:footnoteRef/>
      </w:r>
      <w:r>
        <w:rPr>
          <w:rtl/>
        </w:rPr>
        <w:t xml:space="preserve"> </w:t>
      </w:r>
      <w:r>
        <w:rPr>
          <w:rFonts w:hint="cs"/>
          <w:rtl/>
        </w:rPr>
        <w:tab/>
      </w:r>
      <w:r w:rsidRPr="00FA7269">
        <w:rPr>
          <w:rFonts w:hint="cs"/>
          <w:rtl/>
        </w:rPr>
        <w:t xml:space="preserve">על ההבחנה </w:t>
      </w:r>
      <w:r>
        <w:rPr>
          <w:rFonts w:hint="cs"/>
          <w:rtl/>
        </w:rPr>
        <w:t xml:space="preserve">שבין הדין 'לכתחילה' לדין 'בדיעבד', שהיא ייחודית למשפט הדתי, </w:t>
      </w:r>
      <w:r w:rsidRPr="00FA7269">
        <w:rPr>
          <w:rFonts w:hint="cs"/>
          <w:rtl/>
        </w:rPr>
        <w:t xml:space="preserve">ראו: שי </w:t>
      </w:r>
      <w:proofErr w:type="spellStart"/>
      <w:r w:rsidRPr="00FA7269">
        <w:rPr>
          <w:rFonts w:hint="cs"/>
          <w:rtl/>
        </w:rPr>
        <w:t>עקביא</w:t>
      </w:r>
      <w:proofErr w:type="spellEnd"/>
      <w:r w:rsidRPr="00FA7269">
        <w:rPr>
          <w:rFonts w:hint="cs"/>
          <w:rtl/>
        </w:rPr>
        <w:t xml:space="preserve"> </w:t>
      </w:r>
      <w:proofErr w:type="spellStart"/>
      <w:r w:rsidRPr="00FA7269">
        <w:rPr>
          <w:rFonts w:hint="cs"/>
          <w:rtl/>
        </w:rPr>
        <w:t>ווזנר</w:t>
      </w:r>
      <w:proofErr w:type="spellEnd"/>
      <w:r w:rsidRPr="00FA7269">
        <w:rPr>
          <w:rFonts w:hint="cs"/>
          <w:rtl/>
        </w:rPr>
        <w:t xml:space="preserve">, "על קוהרנטיות ואפקטיביות בהלכה: בירור ראשוני של ההבחנה בין לכתחילה </w:t>
      </w:r>
      <w:proofErr w:type="spellStart"/>
      <w:r w:rsidRPr="00FA7269">
        <w:rPr>
          <w:rFonts w:hint="cs"/>
          <w:rtl/>
        </w:rPr>
        <w:t>ודיעבד</w:t>
      </w:r>
      <w:proofErr w:type="spellEnd"/>
      <w:r w:rsidRPr="00FA7269">
        <w:rPr>
          <w:rFonts w:hint="cs"/>
          <w:rtl/>
        </w:rPr>
        <w:t xml:space="preserve">" </w:t>
      </w:r>
      <w:r w:rsidRPr="00FA7269">
        <w:rPr>
          <w:rFonts w:hint="cs"/>
          <w:b/>
          <w:bCs/>
          <w:rtl/>
        </w:rPr>
        <w:t>דיני ישראל</w:t>
      </w:r>
      <w:r w:rsidRPr="00FA7269">
        <w:rPr>
          <w:rFonts w:hint="cs"/>
          <w:rtl/>
        </w:rPr>
        <w:t xml:space="preserve"> כ-</w:t>
      </w:r>
      <w:proofErr w:type="spellStart"/>
      <w:r w:rsidRPr="00FA7269">
        <w:rPr>
          <w:rFonts w:hint="cs"/>
          <w:rtl/>
        </w:rPr>
        <w:t>כא</w:t>
      </w:r>
      <w:proofErr w:type="spellEnd"/>
      <w:r w:rsidRPr="00FA7269">
        <w:rPr>
          <w:rFonts w:hint="cs"/>
          <w:rtl/>
        </w:rPr>
        <w:t xml:space="preserve"> (תש"ס-תשס"א) 43 (להלן: </w:t>
      </w:r>
      <w:proofErr w:type="spellStart"/>
      <w:r w:rsidRPr="00FA7269">
        <w:rPr>
          <w:rFonts w:hint="cs"/>
          <w:rtl/>
        </w:rPr>
        <w:t>ווזנר</w:t>
      </w:r>
      <w:proofErr w:type="spellEnd"/>
      <w:r w:rsidRPr="00FA7269">
        <w:rPr>
          <w:rFonts w:hint="cs"/>
          <w:rtl/>
        </w:rPr>
        <w:t xml:space="preserve">, על קוהרנטיות); הנ"ל "על כללי התנהגות והכרעות שיפוטיות בהלכה ובמשפט" </w:t>
      </w:r>
      <w:r w:rsidRPr="00FA7269">
        <w:rPr>
          <w:rFonts w:hint="cs"/>
          <w:b/>
          <w:bCs/>
          <w:rtl/>
        </w:rPr>
        <w:t>עיוני משפט</w:t>
      </w:r>
      <w:r w:rsidRPr="00FA7269">
        <w:rPr>
          <w:rFonts w:hint="cs"/>
          <w:rtl/>
        </w:rPr>
        <w:t xml:space="preserve"> לב (תשע"א) 337 (להלן: </w:t>
      </w:r>
      <w:proofErr w:type="spellStart"/>
      <w:r w:rsidRPr="00FA7269">
        <w:rPr>
          <w:rFonts w:hint="cs"/>
          <w:rtl/>
        </w:rPr>
        <w:t>ווזנר</w:t>
      </w:r>
      <w:proofErr w:type="spellEnd"/>
      <w:r w:rsidRPr="00FA7269">
        <w:rPr>
          <w:rFonts w:hint="cs"/>
          <w:rtl/>
        </w:rPr>
        <w:t>, על כללי).</w:t>
      </w:r>
    </w:p>
  </w:footnote>
  <w:footnote w:id="21">
    <w:p w:rsidR="00C26B5D" w:rsidRPr="00FA7269" w:rsidRDefault="00C26B5D" w:rsidP="00C26B5D">
      <w:pPr>
        <w:pStyle w:val="a3"/>
        <w:rPr>
          <w:rtl/>
        </w:rPr>
      </w:pPr>
      <w:r w:rsidRPr="00FA7269">
        <w:rPr>
          <w:rStyle w:val="a5"/>
        </w:rPr>
        <w:footnoteRef/>
      </w:r>
      <w:r w:rsidRPr="00FA7269">
        <w:rPr>
          <w:rtl/>
        </w:rPr>
        <w:t xml:space="preserve"> </w:t>
      </w:r>
      <w:r w:rsidR="00CC163E">
        <w:rPr>
          <w:rFonts w:hint="cs"/>
          <w:rtl/>
        </w:rPr>
        <w:tab/>
      </w:r>
      <w:r w:rsidRPr="00FA7269">
        <w:rPr>
          <w:rFonts w:hint="cs"/>
          <w:rtl/>
        </w:rPr>
        <w:t xml:space="preserve">ראו: </w:t>
      </w:r>
      <w:proofErr w:type="spellStart"/>
      <w:r w:rsidRPr="00FA7269">
        <w:rPr>
          <w:rFonts w:hint="cs"/>
          <w:b/>
          <w:bCs/>
          <w:rtl/>
        </w:rPr>
        <w:t>ווזנר</w:t>
      </w:r>
      <w:proofErr w:type="spellEnd"/>
      <w:r w:rsidRPr="00FA7269">
        <w:rPr>
          <w:rFonts w:hint="cs"/>
          <w:b/>
          <w:bCs/>
          <w:rtl/>
        </w:rPr>
        <w:t>, על קוהרנטיות</w:t>
      </w:r>
      <w:r w:rsidRPr="00FA7269">
        <w:rPr>
          <w:rFonts w:hint="cs"/>
          <w:rtl/>
        </w:rPr>
        <w:t xml:space="preserve"> 89-87; </w:t>
      </w:r>
      <w:proofErr w:type="spellStart"/>
      <w:r w:rsidRPr="00FA7269">
        <w:rPr>
          <w:rFonts w:hint="cs"/>
          <w:b/>
          <w:bCs/>
          <w:rtl/>
        </w:rPr>
        <w:t>ווזנר</w:t>
      </w:r>
      <w:proofErr w:type="spellEnd"/>
      <w:r w:rsidRPr="00FA7269">
        <w:rPr>
          <w:rFonts w:hint="cs"/>
          <w:b/>
          <w:bCs/>
          <w:rtl/>
        </w:rPr>
        <w:t>, על כללי</w:t>
      </w:r>
      <w:r w:rsidRPr="00FA7269">
        <w:rPr>
          <w:rFonts w:hint="cs"/>
          <w:rtl/>
        </w:rPr>
        <w:t xml:space="preserve"> 328-327, 334-330.</w:t>
      </w:r>
    </w:p>
  </w:footnote>
  <w:footnote w:id="22">
    <w:p w:rsidR="00F171A5" w:rsidRPr="00FA7269" w:rsidRDefault="00F171A5" w:rsidP="00F171A5">
      <w:pPr>
        <w:pStyle w:val="a3"/>
        <w:rPr>
          <w:rtl/>
        </w:rPr>
      </w:pPr>
      <w:r w:rsidRPr="00FA7269">
        <w:rPr>
          <w:rStyle w:val="a5"/>
        </w:rPr>
        <w:footnoteRef/>
      </w:r>
      <w:r w:rsidRPr="00FA7269">
        <w:rPr>
          <w:rtl/>
        </w:rPr>
        <w:t xml:space="preserve"> </w:t>
      </w:r>
      <w:r w:rsidR="00CC163E">
        <w:rPr>
          <w:rFonts w:hint="cs"/>
          <w:rtl/>
        </w:rPr>
        <w:tab/>
      </w:r>
      <w:r w:rsidRPr="00FA7269">
        <w:rPr>
          <w:rFonts w:hint="cs"/>
          <w:rtl/>
        </w:rPr>
        <w:t xml:space="preserve">הרב שלמה </w:t>
      </w:r>
      <w:proofErr w:type="spellStart"/>
      <w:r w:rsidRPr="00FA7269">
        <w:rPr>
          <w:rFonts w:hint="cs"/>
          <w:rtl/>
        </w:rPr>
        <w:t>דיכובסקי</w:t>
      </w:r>
      <w:proofErr w:type="spellEnd"/>
      <w:r w:rsidRPr="00FA7269">
        <w:rPr>
          <w:rFonts w:hint="cs"/>
          <w:rtl/>
        </w:rPr>
        <w:t xml:space="preserve">, </w:t>
      </w:r>
      <w:r w:rsidRPr="00FA7269">
        <w:rPr>
          <w:rtl/>
        </w:rPr>
        <w:t>"סמכות בתי הדין הרבניים בראי פסיקת בתי הדין"</w:t>
      </w:r>
      <w:r w:rsidRPr="00FA7269">
        <w:rPr>
          <w:rFonts w:hint="cs"/>
          <w:rtl/>
        </w:rPr>
        <w:t xml:space="preserve"> </w:t>
      </w:r>
      <w:r w:rsidRPr="00FA7269">
        <w:rPr>
          <w:rFonts w:hint="cs"/>
          <w:b/>
          <w:bCs/>
          <w:rtl/>
        </w:rPr>
        <w:t>דיני ישראל</w:t>
      </w:r>
      <w:r w:rsidRPr="00FA7269">
        <w:rPr>
          <w:rFonts w:hint="cs"/>
          <w:rtl/>
        </w:rPr>
        <w:t xml:space="preserve"> י-יא (תשמ"א-תשמ"ג) ט, 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3648090"/>
      <w:docPartObj>
        <w:docPartGallery w:val="Page Numbers (Top of Page)"/>
        <w:docPartUnique/>
      </w:docPartObj>
    </w:sdtPr>
    <w:sdtEndPr>
      <w:rPr>
        <w:cs/>
      </w:rPr>
    </w:sdtEndPr>
    <w:sdtContent>
      <w:p w:rsidR="00253E16" w:rsidRDefault="00253E16" w:rsidP="00253E16">
        <w:pPr>
          <w:pStyle w:val="a7"/>
          <w:jc w:val="center"/>
          <w:rPr>
            <w:rtl/>
            <w:cs/>
          </w:rPr>
        </w:pPr>
        <w:r>
          <w:fldChar w:fldCharType="begin"/>
        </w:r>
        <w:r>
          <w:rPr>
            <w:rtl/>
            <w:cs/>
          </w:rPr>
          <w:instrText>PAGE   \* MERGEFORMAT</w:instrText>
        </w:r>
        <w:r>
          <w:fldChar w:fldCharType="separate"/>
        </w:r>
        <w:r w:rsidR="006A7E88" w:rsidRPr="006A7E88">
          <w:rPr>
            <w:noProof/>
            <w:rtl/>
            <w:lang w:val="he-IL"/>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97D40"/>
    <w:multiLevelType w:val="multilevel"/>
    <w:tmpl w:val="74A8EF98"/>
    <w:lvl w:ilvl="0">
      <w:start w:val="1"/>
      <w:numFmt w:val="decimal"/>
      <w:pStyle w:val="1"/>
      <w:suff w:val="space"/>
      <w:lvlText w:val="%1."/>
      <w:lvlJc w:val="left"/>
      <w:pPr>
        <w:ind w:left="14" w:right="14" w:hanging="360"/>
      </w:pPr>
      <w:rPr>
        <w:rFonts w:hint="default"/>
      </w:rPr>
    </w:lvl>
    <w:lvl w:ilvl="1">
      <w:start w:val="1"/>
      <w:numFmt w:val="decimal"/>
      <w:pStyle w:val="11"/>
      <w:suff w:val="space"/>
      <w:lvlText w:val="%1.%2."/>
      <w:lvlJc w:val="left"/>
      <w:pPr>
        <w:ind w:left="357" w:right="11" w:hanging="357"/>
      </w:pPr>
      <w:rPr>
        <w:rFonts w:hint="default"/>
        <w:i w:val="0"/>
        <w:iCs w:val="0"/>
        <w:lang w:bidi="he-IL"/>
      </w:rPr>
    </w:lvl>
    <w:lvl w:ilvl="2">
      <w:start w:val="1"/>
      <w:numFmt w:val="decimal"/>
      <w:pStyle w:val="111"/>
      <w:suff w:val="space"/>
      <w:lvlText w:val="%1.%2.%3."/>
      <w:lvlJc w:val="left"/>
      <w:pPr>
        <w:ind w:left="357" w:right="11" w:hanging="357"/>
      </w:pPr>
      <w:rPr>
        <w:rFonts w:hint="default"/>
        <w:b/>
        <w:bCs/>
        <w:lang w:val="en-US"/>
      </w:rPr>
    </w:lvl>
    <w:lvl w:ilvl="3">
      <w:start w:val="1"/>
      <w:numFmt w:val="decimal"/>
      <w:lvlText w:val="%1.%2.%3.%4."/>
      <w:lvlJc w:val="left"/>
      <w:pPr>
        <w:tabs>
          <w:tab w:val="num" w:pos="2534"/>
        </w:tabs>
        <w:ind w:left="1382" w:right="1382" w:hanging="648"/>
      </w:pPr>
      <w:rPr>
        <w:rFonts w:hint="default"/>
      </w:rPr>
    </w:lvl>
    <w:lvl w:ilvl="4">
      <w:start w:val="1"/>
      <w:numFmt w:val="decimal"/>
      <w:lvlText w:val="%1.%2.%3.%4.%5."/>
      <w:lvlJc w:val="left"/>
      <w:pPr>
        <w:tabs>
          <w:tab w:val="num" w:pos="2174"/>
        </w:tabs>
        <w:ind w:left="1886" w:right="1886" w:hanging="792"/>
      </w:pPr>
      <w:rPr>
        <w:rFonts w:hint="default"/>
      </w:rPr>
    </w:lvl>
    <w:lvl w:ilvl="5">
      <w:start w:val="1"/>
      <w:numFmt w:val="decimal"/>
      <w:lvlText w:val="%1.%2.%3.%4.%5.%6."/>
      <w:lvlJc w:val="left"/>
      <w:pPr>
        <w:tabs>
          <w:tab w:val="num" w:pos="2534"/>
        </w:tabs>
        <w:ind w:left="2390" w:right="2390" w:hanging="936"/>
      </w:pPr>
      <w:rPr>
        <w:rFonts w:hint="default"/>
      </w:rPr>
    </w:lvl>
    <w:lvl w:ilvl="6">
      <w:start w:val="1"/>
      <w:numFmt w:val="decimal"/>
      <w:lvlText w:val="%1.%2.%3.%4.%5.%6.%7."/>
      <w:lvlJc w:val="left"/>
      <w:pPr>
        <w:tabs>
          <w:tab w:val="num" w:pos="3254"/>
        </w:tabs>
        <w:ind w:left="2894" w:right="2894" w:hanging="1080"/>
      </w:pPr>
      <w:rPr>
        <w:rFonts w:hint="default"/>
      </w:rPr>
    </w:lvl>
    <w:lvl w:ilvl="7">
      <w:start w:val="1"/>
      <w:numFmt w:val="decimal"/>
      <w:lvlText w:val="%1.%2.%3.%4.%5.%6.%7.%8."/>
      <w:lvlJc w:val="left"/>
      <w:pPr>
        <w:tabs>
          <w:tab w:val="num" w:pos="3614"/>
        </w:tabs>
        <w:ind w:left="3398" w:right="3398" w:hanging="1224"/>
      </w:pPr>
      <w:rPr>
        <w:rFonts w:hint="default"/>
      </w:rPr>
    </w:lvl>
    <w:lvl w:ilvl="8">
      <w:start w:val="1"/>
      <w:numFmt w:val="decimal"/>
      <w:lvlText w:val="%1.%2.%3.%4.%5.%6.%7.%8.%9."/>
      <w:lvlJc w:val="left"/>
      <w:pPr>
        <w:tabs>
          <w:tab w:val="num" w:pos="4334"/>
        </w:tabs>
        <w:ind w:left="3974" w:right="3974" w:hanging="1440"/>
      </w:pPr>
      <w:rPr>
        <w:rFonts w:hint="default"/>
      </w:rPr>
    </w:lvl>
  </w:abstractNum>
  <w:abstractNum w:abstractNumId="1" w15:restartNumberingAfterBreak="0">
    <w:nsid w:val="543665A3"/>
    <w:multiLevelType w:val="hybridMultilevel"/>
    <w:tmpl w:val="CE82E18C"/>
    <w:lvl w:ilvl="0" w:tplc="C2802638">
      <w:start w:val="1"/>
      <w:numFmt w:val="decimal"/>
      <w:pStyle w:val="2"/>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1E1C3D"/>
    <w:multiLevelType w:val="hybridMultilevel"/>
    <w:tmpl w:val="EBC8E03E"/>
    <w:lvl w:ilvl="0" w:tplc="49A46532">
      <w:start w:val="1"/>
      <w:numFmt w:val="hebrew1"/>
      <w:pStyle w:val="10"/>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82761"/>
    <w:multiLevelType w:val="hybridMultilevel"/>
    <w:tmpl w:val="CF38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num>
  <w:num w:numId="4">
    <w:abstractNumId w:val="2"/>
  </w:num>
  <w:num w:numId="5">
    <w:abstractNumId w:val="2"/>
  </w:num>
  <w:num w:numId="6">
    <w:abstractNumId w:val="2"/>
  </w:num>
  <w:num w:numId="7">
    <w:abstractNumId w:val="2"/>
  </w:num>
  <w:num w:numId="8">
    <w:abstractNumId w:val="1"/>
  </w:num>
  <w:num w:numId="9">
    <w:abstractNumId w:val="1"/>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AA"/>
    <w:rsid w:val="000146FF"/>
    <w:rsid w:val="00094282"/>
    <w:rsid w:val="000A00C8"/>
    <w:rsid w:val="000E3773"/>
    <w:rsid w:val="001F784C"/>
    <w:rsid w:val="0020491A"/>
    <w:rsid w:val="0021275E"/>
    <w:rsid w:val="00221FF0"/>
    <w:rsid w:val="00253E16"/>
    <w:rsid w:val="002773FE"/>
    <w:rsid w:val="00282850"/>
    <w:rsid w:val="0031206B"/>
    <w:rsid w:val="00312FDA"/>
    <w:rsid w:val="00391A5C"/>
    <w:rsid w:val="003E00D9"/>
    <w:rsid w:val="00484DFD"/>
    <w:rsid w:val="004D5964"/>
    <w:rsid w:val="005174DE"/>
    <w:rsid w:val="00585664"/>
    <w:rsid w:val="005958F2"/>
    <w:rsid w:val="005A23C6"/>
    <w:rsid w:val="005B1AE7"/>
    <w:rsid w:val="006076CE"/>
    <w:rsid w:val="00643CFC"/>
    <w:rsid w:val="006620AA"/>
    <w:rsid w:val="00695A04"/>
    <w:rsid w:val="006A7E88"/>
    <w:rsid w:val="00721A92"/>
    <w:rsid w:val="008105F9"/>
    <w:rsid w:val="00854308"/>
    <w:rsid w:val="008803FC"/>
    <w:rsid w:val="00940C31"/>
    <w:rsid w:val="009B5D18"/>
    <w:rsid w:val="00A45072"/>
    <w:rsid w:val="00AB65E2"/>
    <w:rsid w:val="00B30AB5"/>
    <w:rsid w:val="00C26B5D"/>
    <w:rsid w:val="00CC163E"/>
    <w:rsid w:val="00D53D27"/>
    <w:rsid w:val="00E16D79"/>
    <w:rsid w:val="00E1765C"/>
    <w:rsid w:val="00E41F2D"/>
    <w:rsid w:val="00E60898"/>
    <w:rsid w:val="00EA58D9"/>
    <w:rsid w:val="00EE78A7"/>
    <w:rsid w:val="00EF3DE6"/>
    <w:rsid w:val="00F171A5"/>
    <w:rsid w:val="00F33F81"/>
    <w:rsid w:val="00F57158"/>
    <w:rsid w:val="00FE3B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metricconverter"/>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FD223F99-21D7-4C6D-A1BE-25E86E24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20AA"/>
    <w:pPr>
      <w:bidi/>
      <w:spacing w:before="120" w:after="120" w:line="360" w:lineRule="auto"/>
      <w:jc w:val="both"/>
    </w:pPr>
    <w:rPr>
      <w:rFonts w:ascii="Times New Roman" w:eastAsia="Times New Roman" w:hAnsi="Times New Roman" w:cs="David"/>
      <w:sz w:val="24"/>
      <w:szCs w:val="24"/>
      <w:lang w:eastAsia="he-IL"/>
    </w:rPr>
  </w:style>
  <w:style w:type="paragraph" w:styleId="10">
    <w:name w:val="heading 1"/>
    <w:basedOn w:val="a"/>
    <w:next w:val="a"/>
    <w:link w:val="12"/>
    <w:uiPriority w:val="9"/>
    <w:qFormat/>
    <w:rsid w:val="006620AA"/>
    <w:pPr>
      <w:keepNext/>
      <w:keepLines/>
      <w:numPr>
        <w:numId w:val="2"/>
      </w:numPr>
      <w:jc w:val="center"/>
      <w:outlineLvl w:val="0"/>
    </w:pPr>
    <w:rPr>
      <w:rFonts w:asciiTheme="majorHAnsi" w:eastAsiaTheme="majorEastAsia" w:hAnsiTheme="majorHAnsi"/>
      <w:b/>
      <w:bCs/>
      <w:sz w:val="28"/>
      <w:szCs w:val="28"/>
    </w:rPr>
  </w:style>
  <w:style w:type="paragraph" w:styleId="2">
    <w:name w:val="heading 2"/>
    <w:basedOn w:val="a"/>
    <w:next w:val="a"/>
    <w:link w:val="20"/>
    <w:uiPriority w:val="9"/>
    <w:unhideWhenUsed/>
    <w:qFormat/>
    <w:rsid w:val="000E3773"/>
    <w:pPr>
      <w:keepNext/>
      <w:keepLines/>
      <w:numPr>
        <w:numId w:val="8"/>
      </w:numPr>
      <w:spacing w:before="200" w:after="0"/>
      <w:outlineLvl w:val="1"/>
    </w:pPr>
    <w:rPr>
      <w:rFonts w:asciiTheme="majorHAnsi" w:eastAsiaTheme="majorEastAsia" w:hAnsiTheme="majorHAnsi"/>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טקסט הערות שוליים תו Char Char Char,טקסט הערות שוליים תו Char Char,טקסט הערות שוליים תו תו Char Char,טקסט הערות שוליים תו תו Char Char Char Char Char,טקסט הערות שוליים תו תו Char,טקסט הערות שוליים תו תו תו"/>
    <w:basedOn w:val="a"/>
    <w:link w:val="a4"/>
    <w:uiPriority w:val="99"/>
    <w:semiHidden/>
    <w:rsid w:val="006620AA"/>
    <w:pPr>
      <w:tabs>
        <w:tab w:val="left" w:pos="210"/>
      </w:tabs>
      <w:spacing w:before="0" w:after="0" w:line="240" w:lineRule="auto"/>
      <w:ind w:left="227" w:hanging="227"/>
    </w:pPr>
    <w:rPr>
      <w:sz w:val="20"/>
      <w:szCs w:val="20"/>
    </w:rPr>
  </w:style>
  <w:style w:type="character" w:customStyle="1" w:styleId="a4">
    <w:name w:val="טקסט הערת שוליים תו"/>
    <w:aliases w:val="טקסט הערות שוליים תו Char Char Char תו,טקסט הערות שוליים תו Char Char תו,טקסט הערות שוליים תו תו Char Char תו,טקסט הערות שוליים תו תו Char Char Char Char Char תו,טקסט הערות שוליים תו תו Char תו,טקסט הערות שוליים תו תו תו תו"/>
    <w:basedOn w:val="a0"/>
    <w:link w:val="a3"/>
    <w:uiPriority w:val="99"/>
    <w:semiHidden/>
    <w:rsid w:val="006620AA"/>
    <w:rPr>
      <w:rFonts w:ascii="Times New Roman" w:eastAsia="Times New Roman" w:hAnsi="Times New Roman" w:cs="David"/>
      <w:sz w:val="20"/>
      <w:szCs w:val="20"/>
      <w:lang w:eastAsia="he-IL"/>
    </w:rPr>
  </w:style>
  <w:style w:type="character" w:styleId="a5">
    <w:name w:val="footnote reference"/>
    <w:uiPriority w:val="99"/>
    <w:semiHidden/>
    <w:rsid w:val="006620AA"/>
    <w:rPr>
      <w:vertAlign w:val="superscript"/>
    </w:rPr>
  </w:style>
  <w:style w:type="character" w:styleId="Hyperlink">
    <w:name w:val="Hyperlink"/>
    <w:rsid w:val="006620AA"/>
    <w:rPr>
      <w:color w:val="0000FF"/>
      <w:u w:val="single"/>
    </w:rPr>
  </w:style>
  <w:style w:type="paragraph" w:customStyle="1" w:styleId="1">
    <w:name w:val="כות_1"/>
    <w:basedOn w:val="a"/>
    <w:rsid w:val="006620AA"/>
    <w:pPr>
      <w:numPr>
        <w:numId w:val="1"/>
      </w:numPr>
      <w:spacing w:before="240"/>
    </w:pPr>
    <w:rPr>
      <w:b/>
      <w:bCs/>
      <w:sz w:val="28"/>
      <w:szCs w:val="28"/>
    </w:rPr>
  </w:style>
  <w:style w:type="paragraph" w:customStyle="1" w:styleId="11">
    <w:name w:val="כות_1.1"/>
    <w:basedOn w:val="1"/>
    <w:rsid w:val="006620AA"/>
    <w:pPr>
      <w:numPr>
        <w:ilvl w:val="1"/>
      </w:numPr>
    </w:pPr>
  </w:style>
  <w:style w:type="paragraph" w:customStyle="1" w:styleId="111">
    <w:name w:val="כות_1.1.1"/>
    <w:basedOn w:val="11"/>
    <w:rsid w:val="006620AA"/>
    <w:pPr>
      <w:numPr>
        <w:ilvl w:val="2"/>
      </w:numPr>
    </w:pPr>
  </w:style>
  <w:style w:type="character" w:styleId="HTMLCite">
    <w:name w:val="HTML Cite"/>
    <w:rsid w:val="006620AA"/>
    <w:rPr>
      <w:i/>
      <w:iCs/>
    </w:rPr>
  </w:style>
  <w:style w:type="character" w:customStyle="1" w:styleId="12">
    <w:name w:val="כותרת 1 תו"/>
    <w:basedOn w:val="a0"/>
    <w:link w:val="10"/>
    <w:uiPriority w:val="9"/>
    <w:rsid w:val="006620AA"/>
    <w:rPr>
      <w:rFonts w:asciiTheme="majorHAnsi" w:eastAsiaTheme="majorEastAsia" w:hAnsiTheme="majorHAnsi" w:cs="David"/>
      <w:b/>
      <w:bCs/>
      <w:sz w:val="28"/>
      <w:szCs w:val="28"/>
      <w:lang w:eastAsia="he-IL"/>
    </w:rPr>
  </w:style>
  <w:style w:type="character" w:customStyle="1" w:styleId="20">
    <w:name w:val="כותרת 2 תו"/>
    <w:basedOn w:val="a0"/>
    <w:link w:val="2"/>
    <w:uiPriority w:val="9"/>
    <w:rsid w:val="000E3773"/>
    <w:rPr>
      <w:rFonts w:asciiTheme="majorHAnsi" w:eastAsiaTheme="majorEastAsia" w:hAnsiTheme="majorHAnsi" w:cs="David"/>
      <w:b/>
      <w:bCs/>
      <w:sz w:val="26"/>
      <w:szCs w:val="24"/>
      <w:lang w:eastAsia="he-IL"/>
    </w:rPr>
  </w:style>
  <w:style w:type="character" w:styleId="FollowedHyperlink">
    <w:name w:val="FollowedHyperlink"/>
    <w:basedOn w:val="a0"/>
    <w:uiPriority w:val="99"/>
    <w:semiHidden/>
    <w:unhideWhenUsed/>
    <w:rsid w:val="005A23C6"/>
    <w:rPr>
      <w:color w:val="800080" w:themeColor="followedHyperlink"/>
      <w:u w:val="single"/>
    </w:rPr>
  </w:style>
  <w:style w:type="paragraph" w:styleId="a6">
    <w:name w:val="List Paragraph"/>
    <w:basedOn w:val="a"/>
    <w:uiPriority w:val="34"/>
    <w:qFormat/>
    <w:rsid w:val="003E00D9"/>
    <w:pPr>
      <w:ind w:left="720"/>
      <w:contextualSpacing/>
    </w:pPr>
  </w:style>
  <w:style w:type="paragraph" w:styleId="a7">
    <w:name w:val="header"/>
    <w:basedOn w:val="a"/>
    <w:link w:val="a8"/>
    <w:uiPriority w:val="99"/>
    <w:unhideWhenUsed/>
    <w:rsid w:val="00253E16"/>
    <w:pPr>
      <w:tabs>
        <w:tab w:val="center" w:pos="4153"/>
        <w:tab w:val="right" w:pos="8306"/>
      </w:tabs>
      <w:spacing w:before="0" w:after="0" w:line="240" w:lineRule="auto"/>
    </w:pPr>
  </w:style>
  <w:style w:type="character" w:customStyle="1" w:styleId="a8">
    <w:name w:val="כותרת עליונה תו"/>
    <w:basedOn w:val="a0"/>
    <w:link w:val="a7"/>
    <w:uiPriority w:val="99"/>
    <w:rsid w:val="00253E16"/>
    <w:rPr>
      <w:rFonts w:ascii="Times New Roman" w:eastAsia="Times New Roman" w:hAnsi="Times New Roman" w:cs="David"/>
      <w:sz w:val="24"/>
      <w:szCs w:val="24"/>
      <w:lang w:eastAsia="he-IL"/>
    </w:rPr>
  </w:style>
  <w:style w:type="paragraph" w:styleId="a9">
    <w:name w:val="footer"/>
    <w:basedOn w:val="a"/>
    <w:link w:val="aa"/>
    <w:uiPriority w:val="99"/>
    <w:unhideWhenUsed/>
    <w:rsid w:val="00253E16"/>
    <w:pPr>
      <w:tabs>
        <w:tab w:val="center" w:pos="4153"/>
        <w:tab w:val="right" w:pos="8306"/>
      </w:tabs>
      <w:spacing w:before="0" w:after="0" w:line="240" w:lineRule="auto"/>
    </w:pPr>
  </w:style>
  <w:style w:type="character" w:customStyle="1" w:styleId="aa">
    <w:name w:val="כותרת תחתונה תו"/>
    <w:basedOn w:val="a0"/>
    <w:link w:val="a9"/>
    <w:uiPriority w:val="99"/>
    <w:rsid w:val="00253E16"/>
    <w:rPr>
      <w:rFonts w:ascii="Times New Roman" w:eastAsia="Times New Roman" w:hAnsi="Times New Roman" w:cs="David"/>
      <w:sz w:val="24"/>
      <w:szCs w:val="24"/>
      <w:lang w:eastAsia="he-IL"/>
    </w:rPr>
  </w:style>
  <w:style w:type="paragraph" w:styleId="ab">
    <w:name w:val="Balloon Text"/>
    <w:basedOn w:val="a"/>
    <w:link w:val="ac"/>
    <w:uiPriority w:val="99"/>
    <w:semiHidden/>
    <w:unhideWhenUsed/>
    <w:rsid w:val="00253E16"/>
    <w:pPr>
      <w:spacing w:before="0" w:after="0" w:line="240" w:lineRule="auto"/>
    </w:pPr>
    <w:rPr>
      <w:rFonts w:ascii="Tahoma" w:hAnsi="Tahoma" w:cs="Tahoma"/>
      <w:sz w:val="16"/>
      <w:szCs w:val="16"/>
    </w:rPr>
  </w:style>
  <w:style w:type="character" w:customStyle="1" w:styleId="ac">
    <w:name w:val="טקסט בלונים תו"/>
    <w:basedOn w:val="a0"/>
    <w:link w:val="ab"/>
    <w:uiPriority w:val="99"/>
    <w:semiHidden/>
    <w:rsid w:val="00253E16"/>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1" Type="http://schemas.openxmlformats.org/officeDocument/2006/relationships/hyperlink" Target="https://taljournal.jtsa.edu/index.php/quntres/article/viewFile/40/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C224E-21D7-495A-BE34-9CB063B9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6098</Characters>
  <Application>Microsoft Office Word</Application>
  <DocSecurity>0</DocSecurity>
  <Lines>50</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ירון אונגר</dc:creator>
  <cp:lastModifiedBy>Yuval</cp:lastModifiedBy>
  <cp:revision>2</cp:revision>
  <dcterms:created xsi:type="dcterms:W3CDTF">2023-10-13T08:48:00Z</dcterms:created>
  <dcterms:modified xsi:type="dcterms:W3CDTF">2023-10-13T08:48:00Z</dcterms:modified>
</cp:coreProperties>
</file>