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5D2678" w:rsidRPr="00B741F0" w:rsidTr="00E65E2E">
        <w:trPr>
          <w:trHeight w:val="1619"/>
        </w:trPr>
        <w:tc>
          <w:tcPr>
            <w:tcW w:w="3708" w:type="dxa"/>
            <w:tcBorders>
              <w:bottom w:val="single" w:sz="4" w:space="0" w:color="auto"/>
            </w:tcBorders>
          </w:tcPr>
          <w:p w:rsidR="005D2678" w:rsidRPr="007264D4" w:rsidRDefault="005D2678" w:rsidP="00E65E2E">
            <w:pPr>
              <w:bidi w:val="0"/>
              <w:spacing w:line="340" w:lineRule="atLeast"/>
              <w:rPr>
                <w:sz w:val="20"/>
                <w:szCs w:val="20"/>
              </w:rPr>
            </w:pPr>
            <w:bookmarkStart w:id="0" w:name="_GoBack"/>
            <w:bookmarkEnd w:id="0"/>
            <w:proofErr w:type="spellStart"/>
            <w:smartTag w:uri="urn:schemas-microsoft-com:office:smarttags" w:element="PlaceName">
              <w:smartTag w:uri="urn:schemas-microsoft-com:office:smarttags" w:element="plac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5D2678" w:rsidRPr="007264D4" w:rsidRDefault="005D2678" w:rsidP="00E65E2E">
            <w:pPr>
              <w:bidi w:val="0"/>
              <w:spacing w:line="340" w:lineRule="atLeast"/>
              <w:rPr>
                <w:b/>
                <w:bCs/>
                <w:sz w:val="20"/>
                <w:szCs w:val="20"/>
              </w:rPr>
            </w:pPr>
            <w:smartTag w:uri="urn:schemas-microsoft-com:office:smarttags" w:element="address">
              <w:smartTag w:uri="urn:schemas-microsoft-com:office:smarttags" w:element="Street">
                <w:r w:rsidRPr="007264D4">
                  <w:rPr>
                    <w:b/>
                    <w:bCs/>
                    <w:sz w:val="20"/>
                    <w:szCs w:val="20"/>
                  </w:rPr>
                  <w:t>1 University St</w:t>
                </w:r>
              </w:smartTag>
            </w:smartTag>
            <w:r w:rsidRPr="007264D4">
              <w:rPr>
                <w:b/>
                <w:bCs/>
                <w:sz w:val="20"/>
                <w:szCs w:val="20"/>
              </w:rPr>
              <w:t>.</w:t>
            </w:r>
          </w:p>
          <w:p w:rsidR="005D2678" w:rsidRPr="007264D4" w:rsidRDefault="005D2678" w:rsidP="00E65E2E">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5D2678" w:rsidRPr="00B741F0" w:rsidRDefault="005D2678" w:rsidP="00E65E2E">
            <w:pPr>
              <w:bidi w:val="0"/>
              <w:spacing w:line="340" w:lineRule="atLeast"/>
            </w:pPr>
            <w:smartTag w:uri="urn:schemas-microsoft-com:office:smarttags" w:element="City">
              <w:smartTag w:uri="urn:schemas-microsoft-com:office:smarttags" w:element="place">
                <w:r w:rsidRPr="007264D4">
                  <w:rPr>
                    <w:b/>
                    <w:bCs/>
                    <w:smallCaps/>
                    <w:spacing w:val="5"/>
                    <w:sz w:val="20"/>
                    <w:szCs w:val="20"/>
                  </w:rPr>
                  <w:t>Netanya</w:t>
                </w:r>
              </w:smartTag>
              <w:r w:rsidRPr="007264D4">
                <w:rPr>
                  <w:b/>
                  <w:bCs/>
                  <w:sz w:val="20"/>
                  <w:szCs w:val="20"/>
                </w:rPr>
                <w:t xml:space="preserve"> </w:t>
              </w:r>
              <w:smartTag w:uri="urn:schemas-microsoft-com:office:smarttags" w:element="country-region">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Borders>
              <w:bottom w:val="single" w:sz="4" w:space="0" w:color="auto"/>
            </w:tcBorders>
          </w:tcPr>
          <w:p w:rsidR="005D2678" w:rsidRDefault="005D2678" w:rsidP="00E65E2E">
            <w:pPr>
              <w:spacing w:line="340" w:lineRule="atLeast"/>
              <w:ind w:right="-170"/>
            </w:pPr>
            <w:r>
              <w:t xml:space="preserve">  </w:t>
            </w:r>
          </w:p>
          <w:p w:rsidR="005D2678" w:rsidRPr="00B741F0" w:rsidRDefault="005D2678" w:rsidP="00E65E2E">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6.25pt" o:ole="" fillcolor="window">
                  <v:imagedata r:id="rId7" o:title=""/>
                </v:shape>
                <o:OLEObject Type="Embed" ProgID="MSDraw" ShapeID="_x0000_i1025" DrawAspect="Content" ObjectID="_1758702915" r:id="rId8">
                  <o:FieldCodes>\* MERGEFORMAT</o:FieldCodes>
                </o:OLEObject>
              </w:object>
            </w:r>
          </w:p>
          <w:p w:rsidR="005D2678" w:rsidRPr="00B741F0" w:rsidRDefault="005D2678" w:rsidP="00E65E2E">
            <w:pPr>
              <w:spacing w:line="340" w:lineRule="atLeast"/>
              <w:ind w:right="-170"/>
              <w:jc w:val="center"/>
              <w:rPr>
                <w:rFonts w:cs="FrankRuehl"/>
                <w:b/>
                <w:bCs/>
                <w:rtl/>
              </w:rPr>
            </w:pPr>
            <w:r w:rsidRPr="00B741F0">
              <w:rPr>
                <w:rFonts w:cs="FrankRuehl" w:hint="cs"/>
                <w:b/>
                <w:bCs/>
                <w:rtl/>
              </w:rPr>
              <w:t>המרכז</w:t>
            </w:r>
            <w:r w:rsidRPr="00B741F0">
              <w:rPr>
                <w:rFonts w:cs="FrankRuehl"/>
                <w:b/>
                <w:bCs/>
                <w:rtl/>
              </w:rPr>
              <w:t xml:space="preserve"> </w:t>
            </w:r>
            <w:r w:rsidRPr="00B741F0">
              <w:rPr>
                <w:rFonts w:cs="FrankRuehl" w:hint="cs"/>
                <w:b/>
                <w:bCs/>
                <w:rtl/>
              </w:rPr>
              <w:t>ליישומי</w:t>
            </w:r>
            <w:r w:rsidRPr="00B741F0">
              <w:rPr>
                <w:rFonts w:cs="FrankRuehl"/>
                <w:b/>
                <w:bCs/>
                <w:rtl/>
              </w:rPr>
              <w:t xml:space="preserve"> </w:t>
            </w:r>
            <w:r w:rsidRPr="00B741F0">
              <w:rPr>
                <w:rFonts w:cs="FrankRuehl" w:hint="cs"/>
                <w:b/>
                <w:bCs/>
                <w:rtl/>
              </w:rPr>
              <w:t>משפט</w:t>
            </w:r>
            <w:r w:rsidRPr="00B741F0">
              <w:rPr>
                <w:rFonts w:cs="FrankRuehl"/>
                <w:b/>
                <w:bCs/>
                <w:rtl/>
              </w:rPr>
              <w:t xml:space="preserve"> </w:t>
            </w:r>
            <w:r w:rsidRPr="00B741F0">
              <w:rPr>
                <w:rFonts w:cs="FrankRuehl" w:hint="cs"/>
                <w:b/>
                <w:bCs/>
                <w:rtl/>
              </w:rPr>
              <w:t>עברי</w:t>
            </w:r>
          </w:p>
          <w:p w:rsidR="005D2678" w:rsidRPr="00B741F0" w:rsidRDefault="005D2678" w:rsidP="00E65E2E">
            <w:pPr>
              <w:spacing w:line="340" w:lineRule="atLeast"/>
              <w:ind w:right="-170"/>
              <w:jc w:val="center"/>
            </w:pPr>
            <w:r w:rsidRPr="00B741F0">
              <w:rPr>
                <w:rFonts w:cs="FrankRuehl"/>
                <w:b/>
                <w:bCs/>
                <w:rtl/>
              </w:rPr>
              <w:t>(</w:t>
            </w:r>
            <w:proofErr w:type="spellStart"/>
            <w:r w:rsidRPr="00B741F0">
              <w:rPr>
                <w:rFonts w:cs="FrankRuehl" w:hint="cs"/>
                <w:b/>
                <w:bCs/>
                <w:rtl/>
              </w:rPr>
              <w:t>ישמ</w:t>
            </w:r>
            <w:r w:rsidRPr="00B741F0">
              <w:rPr>
                <w:rFonts w:cs="FrankRuehl"/>
                <w:b/>
                <w:bCs/>
                <w:rtl/>
              </w:rPr>
              <w:t>"</w:t>
            </w:r>
            <w:r w:rsidRPr="00B741F0">
              <w:rPr>
                <w:rFonts w:cs="FrankRuehl" w:hint="cs"/>
                <w:b/>
                <w:bCs/>
                <w:rtl/>
              </w:rPr>
              <w:t>ע</w:t>
            </w:r>
            <w:proofErr w:type="spellEnd"/>
            <w:r w:rsidRPr="00B741F0">
              <w:rPr>
                <w:rFonts w:cs="FrankRuehl"/>
                <w:b/>
                <w:bCs/>
                <w:rtl/>
              </w:rPr>
              <w:t>)</w:t>
            </w:r>
          </w:p>
        </w:tc>
        <w:tc>
          <w:tcPr>
            <w:tcW w:w="2880" w:type="dxa"/>
            <w:tcBorders>
              <w:bottom w:val="single" w:sz="4" w:space="0" w:color="auto"/>
            </w:tcBorders>
          </w:tcPr>
          <w:p w:rsidR="005D2678" w:rsidRPr="00DC26D4" w:rsidRDefault="005D2678" w:rsidP="00E65E2E">
            <w:pPr>
              <w:spacing w:line="340" w:lineRule="atLeast"/>
              <w:rPr>
                <w:rtl/>
              </w:rPr>
            </w:pPr>
            <w:r w:rsidRPr="00DC26D4">
              <w:rPr>
                <w:rFonts w:hint="cs"/>
                <w:b/>
                <w:bCs/>
                <w:rtl/>
              </w:rPr>
              <w:t>המכללה</w:t>
            </w:r>
            <w:r w:rsidRPr="00DC26D4">
              <w:rPr>
                <w:b/>
                <w:bCs/>
                <w:rtl/>
              </w:rPr>
              <w:t xml:space="preserve"> </w:t>
            </w:r>
            <w:r w:rsidRPr="00DC26D4">
              <w:rPr>
                <w:rFonts w:hint="cs"/>
                <w:b/>
                <w:bCs/>
                <w:rtl/>
              </w:rPr>
              <w:t>האקדמית</w:t>
            </w:r>
            <w:r w:rsidRPr="00DC26D4">
              <w:rPr>
                <w:b/>
                <w:bCs/>
                <w:rtl/>
              </w:rPr>
              <w:t xml:space="preserve"> </w:t>
            </w:r>
            <w:r w:rsidRPr="00DC26D4">
              <w:rPr>
                <w:rFonts w:hint="cs"/>
                <w:b/>
                <w:bCs/>
                <w:rtl/>
              </w:rPr>
              <w:t>נתניה</w:t>
            </w:r>
            <w:r w:rsidRPr="00DC26D4">
              <w:rPr>
                <w:b/>
                <w:bCs/>
                <w:rtl/>
              </w:rPr>
              <w:t xml:space="preserve"> </w:t>
            </w:r>
            <w:proofErr w:type="spellStart"/>
            <w:r>
              <w:rPr>
                <w:rFonts w:hint="cs"/>
                <w:b/>
                <w:bCs/>
                <w:rtl/>
              </w:rPr>
              <w:t>ע</w:t>
            </w:r>
            <w:r w:rsidRPr="00DC26D4">
              <w:rPr>
                <w:b/>
                <w:bCs/>
                <w:rtl/>
              </w:rPr>
              <w:t>"</w:t>
            </w:r>
            <w:r w:rsidRPr="00DC26D4">
              <w:rPr>
                <w:rFonts w:hint="cs"/>
                <w:b/>
                <w:bCs/>
                <w:rtl/>
              </w:rPr>
              <w:t>ר</w:t>
            </w:r>
            <w:proofErr w:type="spellEnd"/>
          </w:p>
          <w:p w:rsidR="005D2678" w:rsidRPr="00DC26D4" w:rsidRDefault="005D2678" w:rsidP="00E65E2E">
            <w:pPr>
              <w:spacing w:line="340" w:lineRule="atLeast"/>
              <w:rPr>
                <w:b/>
                <w:bCs/>
                <w:rtl/>
              </w:rPr>
            </w:pPr>
            <w:r w:rsidRPr="00DC26D4">
              <w:rPr>
                <w:rFonts w:hint="cs"/>
                <w:b/>
                <w:bCs/>
                <w:rtl/>
              </w:rPr>
              <w:t>רח</w:t>
            </w:r>
            <w:r w:rsidRPr="00DC26D4">
              <w:rPr>
                <w:b/>
                <w:bCs/>
                <w:rtl/>
              </w:rPr>
              <w:t xml:space="preserve">' </w:t>
            </w:r>
            <w:r w:rsidRPr="00DC26D4">
              <w:rPr>
                <w:rFonts w:hint="cs"/>
                <w:b/>
                <w:bCs/>
                <w:rtl/>
              </w:rPr>
              <w:t>האוניברסיטה</w:t>
            </w:r>
            <w:r w:rsidRPr="00DC26D4">
              <w:rPr>
                <w:b/>
                <w:bCs/>
                <w:rtl/>
              </w:rPr>
              <w:t xml:space="preserve"> 1</w:t>
            </w:r>
          </w:p>
          <w:p w:rsidR="005D2678" w:rsidRPr="00DC26D4" w:rsidRDefault="005D2678" w:rsidP="00E65E2E">
            <w:pPr>
              <w:spacing w:line="340" w:lineRule="atLeast"/>
              <w:rPr>
                <w:b/>
                <w:bCs/>
                <w:rtl/>
              </w:rPr>
            </w:pPr>
            <w:proofErr w:type="spellStart"/>
            <w:r w:rsidRPr="00DC26D4">
              <w:rPr>
                <w:rFonts w:hint="cs"/>
                <w:b/>
                <w:bCs/>
                <w:rtl/>
              </w:rPr>
              <w:t>קרית</w:t>
            </w:r>
            <w:proofErr w:type="spellEnd"/>
            <w:r w:rsidRPr="00DC26D4">
              <w:rPr>
                <w:b/>
                <w:bCs/>
                <w:rtl/>
              </w:rPr>
              <w:t xml:space="preserve"> </w:t>
            </w:r>
            <w:r w:rsidRPr="00DC26D4">
              <w:rPr>
                <w:rFonts w:hint="cs"/>
                <w:b/>
                <w:bCs/>
                <w:rtl/>
              </w:rPr>
              <w:t>יצחק</w:t>
            </w:r>
            <w:r w:rsidRPr="00DC26D4">
              <w:rPr>
                <w:b/>
                <w:bCs/>
                <w:rtl/>
              </w:rPr>
              <w:t xml:space="preserve"> </w:t>
            </w:r>
            <w:r w:rsidRPr="00DC26D4">
              <w:rPr>
                <w:rFonts w:hint="cs"/>
                <w:b/>
                <w:bCs/>
                <w:rtl/>
              </w:rPr>
              <w:t>רבין</w:t>
            </w:r>
          </w:p>
          <w:p w:rsidR="005D2678" w:rsidRPr="00DC26D4" w:rsidRDefault="005D2678" w:rsidP="00E65E2E">
            <w:pPr>
              <w:spacing w:line="340" w:lineRule="atLeast"/>
              <w:rPr>
                <w:rtl/>
              </w:rPr>
            </w:pPr>
            <w:r w:rsidRPr="00DC26D4">
              <w:rPr>
                <w:rFonts w:hint="cs"/>
                <w:b/>
                <w:bCs/>
                <w:rtl/>
              </w:rPr>
              <w:t>נתניה</w:t>
            </w:r>
            <w:r w:rsidRPr="00DC26D4">
              <w:rPr>
                <w:b/>
                <w:bCs/>
                <w:rtl/>
              </w:rPr>
              <w:t xml:space="preserve">  42365</w:t>
            </w:r>
          </w:p>
          <w:p w:rsidR="005D2678" w:rsidRPr="00B741F0" w:rsidRDefault="005D2678" w:rsidP="00E65E2E">
            <w:pPr>
              <w:spacing w:line="340" w:lineRule="atLeast"/>
              <w:rPr>
                <w:rFonts w:cs="FrankRuehl"/>
                <w:b/>
                <w:bCs/>
              </w:rPr>
            </w:pPr>
          </w:p>
        </w:tc>
      </w:tr>
    </w:tbl>
    <w:p w:rsidR="005D2678" w:rsidRPr="007E30E7" w:rsidRDefault="003163C6" w:rsidP="005D2678">
      <w:pPr>
        <w:jc w:val="left"/>
        <w:rPr>
          <w:rtl/>
        </w:rPr>
      </w:pPr>
      <w:r>
        <w:rPr>
          <w:rFonts w:hint="cs"/>
          <w:rtl/>
        </w:rPr>
        <w:t>בס"ד, ו' טבת תשע"ה</w:t>
      </w:r>
      <w:r w:rsidR="005D2678">
        <w:rPr>
          <w:rFonts w:hint="cs"/>
          <w:rtl/>
        </w:rPr>
        <w:t xml:space="preserve"> </w:t>
      </w:r>
      <w:r>
        <w:rPr>
          <w:rFonts w:hint="cs"/>
          <w:rtl/>
        </w:rPr>
        <w:t>(28.12</w:t>
      </w:r>
      <w:r w:rsidR="005D2678">
        <w:rPr>
          <w:rFonts w:hint="cs"/>
          <w:rtl/>
        </w:rPr>
        <w:t>.2014)</w:t>
      </w:r>
    </w:p>
    <w:p w:rsidR="005D2678" w:rsidRDefault="005D2678" w:rsidP="004A60D7">
      <w:pPr>
        <w:spacing w:before="0" w:after="200" w:line="276" w:lineRule="auto"/>
        <w:jc w:val="center"/>
        <w:rPr>
          <w:rFonts w:ascii="Calibri" w:eastAsia="Calibri" w:hAnsi="Calibri"/>
          <w:b/>
          <w:bCs/>
          <w:sz w:val="30"/>
          <w:szCs w:val="30"/>
          <w:rtl/>
          <w:lang w:eastAsia="en-US"/>
        </w:rPr>
      </w:pPr>
    </w:p>
    <w:p w:rsidR="004A60D7" w:rsidRPr="005D2678" w:rsidRDefault="004A60D7" w:rsidP="004A60D7">
      <w:pPr>
        <w:spacing w:before="0" w:after="200" w:line="276" w:lineRule="auto"/>
        <w:jc w:val="center"/>
        <w:rPr>
          <w:rFonts w:ascii="Calibri" w:eastAsia="Calibri" w:hAnsi="Calibri"/>
          <w:b/>
          <w:bCs/>
          <w:sz w:val="32"/>
          <w:szCs w:val="32"/>
          <w:rtl/>
          <w:lang w:eastAsia="en-US"/>
        </w:rPr>
      </w:pPr>
      <w:r w:rsidRPr="005D2678">
        <w:rPr>
          <w:rFonts w:ascii="Calibri" w:eastAsia="Calibri" w:hAnsi="Calibri" w:hint="cs"/>
          <w:b/>
          <w:bCs/>
          <w:sz w:val="32"/>
          <w:szCs w:val="32"/>
          <w:rtl/>
          <w:lang w:eastAsia="en-US"/>
        </w:rPr>
        <w:t>שלילת משאב חיוני ממי שאינו משלם עבורו</w:t>
      </w:r>
    </w:p>
    <w:p w:rsidR="005D2678" w:rsidRPr="005D2678" w:rsidRDefault="005D2678" w:rsidP="004A60D7">
      <w:pPr>
        <w:spacing w:before="0" w:after="200" w:line="276" w:lineRule="auto"/>
        <w:jc w:val="center"/>
        <w:rPr>
          <w:rFonts w:ascii="Calibri" w:eastAsia="Calibri" w:hAnsi="Calibri"/>
          <w:rtl/>
          <w:lang w:eastAsia="en-US"/>
        </w:rPr>
      </w:pPr>
      <w:r w:rsidRPr="005D2678">
        <w:rPr>
          <w:rFonts w:ascii="Calibri" w:eastAsia="Calibri" w:hAnsi="Calibri" w:hint="cs"/>
          <w:rtl/>
          <w:lang w:eastAsia="en-US"/>
        </w:rPr>
        <w:t>מאת</w:t>
      </w:r>
    </w:p>
    <w:p w:rsidR="005D2678" w:rsidRPr="005D2678" w:rsidRDefault="005D2678" w:rsidP="004A60D7">
      <w:pPr>
        <w:spacing w:before="0" w:after="200" w:line="276" w:lineRule="auto"/>
        <w:jc w:val="center"/>
        <w:rPr>
          <w:rFonts w:ascii="Calibri" w:eastAsia="Calibri" w:hAnsi="Calibri"/>
          <w:rtl/>
          <w:lang w:eastAsia="en-US"/>
        </w:rPr>
      </w:pPr>
      <w:r w:rsidRPr="005D2678">
        <w:rPr>
          <w:rFonts w:ascii="Calibri" w:eastAsia="Calibri" w:hAnsi="Calibri" w:hint="cs"/>
          <w:rtl/>
          <w:lang w:eastAsia="en-US"/>
        </w:rPr>
        <w:t xml:space="preserve">הרב עו"ד ירון </w:t>
      </w:r>
      <w:proofErr w:type="spellStart"/>
      <w:r w:rsidRPr="005D2678">
        <w:rPr>
          <w:rFonts w:ascii="Calibri" w:eastAsia="Calibri" w:hAnsi="Calibri" w:hint="cs"/>
          <w:rtl/>
          <w:lang w:eastAsia="en-US"/>
        </w:rPr>
        <w:t>אונגר</w:t>
      </w:r>
      <w:proofErr w:type="spellEnd"/>
      <w:r w:rsidRPr="005D2678">
        <w:rPr>
          <w:rFonts w:ascii="Calibri" w:eastAsia="Calibri" w:hAnsi="Calibri" w:hint="cs"/>
          <w:rtl/>
          <w:lang w:eastAsia="en-US"/>
        </w:rPr>
        <w:t xml:space="preserve"> ופרופ' יובל סיני</w:t>
      </w:r>
    </w:p>
    <w:p w:rsidR="00B95004" w:rsidRDefault="004A60D7" w:rsidP="00731C2A">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השאלה, האם רשאית הרשות לשלול משאב חיוני (חשמל, מי, גז וכדומה) ממי שאינו משלם עבורו עולה מעת לעת על סדר היום הציבורי. </w:t>
      </w:r>
      <w:r w:rsidR="00B95004">
        <w:rPr>
          <w:rFonts w:ascii="Arial" w:eastAsia="Arial Unicode MS" w:hAnsi="Arial" w:hint="cs"/>
          <w:b w:val="0"/>
          <w:bCs w:val="0"/>
          <w:snapToGrid w:val="0"/>
          <w:sz w:val="24"/>
          <w:szCs w:val="24"/>
          <w:rtl/>
          <w:lang w:eastAsia="ja-JP"/>
        </w:rPr>
        <w:t>שאלה זו מורכבת למעשה משלוש שאלות נפרדות: האם ניתן לשלול מאדם משאב חיוני כאמצעי לחץ לגביית חובות עבר? האם ניתן לשלול מאדם משאב חיוני משום ש</w:t>
      </w:r>
      <w:r w:rsidR="00731C2A">
        <w:rPr>
          <w:rFonts w:ascii="Arial" w:eastAsia="Arial Unicode MS" w:hAnsi="Arial" w:hint="cs"/>
          <w:b w:val="0"/>
          <w:bCs w:val="0"/>
          <w:snapToGrid w:val="0"/>
          <w:sz w:val="24"/>
          <w:szCs w:val="24"/>
          <w:rtl/>
          <w:lang w:eastAsia="ja-JP"/>
        </w:rPr>
        <w:t>הוא מתחמק מלש</w:t>
      </w:r>
      <w:r w:rsidR="00B95004">
        <w:rPr>
          <w:rFonts w:ascii="Arial" w:eastAsia="Arial Unicode MS" w:hAnsi="Arial" w:hint="cs"/>
          <w:b w:val="0"/>
          <w:bCs w:val="0"/>
          <w:snapToGrid w:val="0"/>
          <w:sz w:val="24"/>
          <w:szCs w:val="24"/>
          <w:rtl/>
          <w:lang w:eastAsia="ja-JP"/>
        </w:rPr>
        <w:t>לם עבורו</w:t>
      </w:r>
      <w:r w:rsidR="00731C2A">
        <w:rPr>
          <w:rFonts w:ascii="Arial" w:eastAsia="Arial Unicode MS" w:hAnsi="Arial" w:hint="cs"/>
          <w:b w:val="0"/>
          <w:bCs w:val="0"/>
          <w:snapToGrid w:val="0"/>
          <w:sz w:val="24"/>
          <w:szCs w:val="24"/>
          <w:rtl/>
          <w:lang w:eastAsia="ja-JP"/>
        </w:rPr>
        <w:t>? ולבסוף, האם ניתן</w:t>
      </w:r>
      <w:r w:rsidR="00731C2A" w:rsidRPr="00731C2A">
        <w:rPr>
          <w:rFonts w:ascii="Arial" w:eastAsia="Arial Unicode MS" w:hAnsi="Arial" w:hint="cs"/>
          <w:b w:val="0"/>
          <w:bCs w:val="0"/>
          <w:snapToGrid w:val="0"/>
          <w:sz w:val="24"/>
          <w:szCs w:val="24"/>
          <w:rtl/>
          <w:lang w:eastAsia="ja-JP"/>
        </w:rPr>
        <w:t xml:space="preserve"> </w:t>
      </w:r>
      <w:r w:rsidR="00731C2A">
        <w:rPr>
          <w:rFonts w:ascii="Arial" w:eastAsia="Arial Unicode MS" w:hAnsi="Arial" w:hint="cs"/>
          <w:b w:val="0"/>
          <w:bCs w:val="0"/>
          <w:snapToGrid w:val="0"/>
          <w:sz w:val="24"/>
          <w:szCs w:val="24"/>
          <w:rtl/>
          <w:lang w:eastAsia="ja-JP"/>
        </w:rPr>
        <w:t>לשלול מאדם שאינו מסוגל לשלם עבור משאב חיוני את הזכות להשתמש במשאב זה? האם המשאב החיוני הוא 'מצרך' שככל מצרך, נמכר בכסף למי שמסוגל לשלם עבורו, או שמא השימוש במשאב זה היא 'זכות' שמימושה אינו מותנה במצבו הכלכלי של האדם?</w:t>
      </w:r>
    </w:p>
    <w:p w:rsidR="0012225B" w:rsidRDefault="0012225B" w:rsidP="0012225B">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חכמי התלמוד והפוסקים עסקו בעיקר בשאלת השלילה של המים ממי שאינו מסוגל לשלם עבורם, ובכך נתמקד אף אנו, אך נראה שמשאלה זו יש להשליך לכל משאב חיוני אחר.</w:t>
      </w:r>
    </w:p>
    <w:p w:rsidR="00AD0B95" w:rsidRPr="005D2678" w:rsidRDefault="00AD0B95" w:rsidP="00AD0B95">
      <w:pPr>
        <w:pStyle w:val="10"/>
        <w:numPr>
          <w:ilvl w:val="0"/>
          <w:numId w:val="2"/>
        </w:numPr>
        <w:rPr>
          <w:sz w:val="28"/>
          <w:rtl/>
        </w:rPr>
      </w:pPr>
      <w:r w:rsidRPr="005D2678">
        <w:rPr>
          <w:rFonts w:hint="cs"/>
          <w:sz w:val="28"/>
          <w:rtl/>
        </w:rPr>
        <w:t>משאב חיוני אינו 'מצרך'</w:t>
      </w:r>
    </w:p>
    <w:p w:rsidR="004A60D7" w:rsidRPr="005E5EA0" w:rsidRDefault="00F80904" w:rsidP="00F24246">
      <w:pPr>
        <w:pStyle w:val="1"/>
        <w:numPr>
          <w:ilvl w:val="0"/>
          <w:numId w:val="0"/>
        </w:numPr>
        <w:spacing w:before="120"/>
        <w:ind w:right="0"/>
        <w:rPr>
          <w:rFonts w:ascii="Arial" w:eastAsia="Arial Unicode MS" w:hAnsi="Arial"/>
          <w:b w:val="0"/>
          <w:bCs w:val="0"/>
          <w:snapToGrid w:val="0"/>
          <w:sz w:val="24"/>
          <w:szCs w:val="24"/>
          <w:rtl/>
          <w:lang w:eastAsia="ja-JP"/>
        </w:rPr>
      </w:pPr>
      <w:r w:rsidRPr="005E5EA0">
        <w:rPr>
          <w:rFonts w:ascii="Arial" w:eastAsia="Arial Unicode MS" w:hAnsi="Arial" w:hint="cs"/>
          <w:b w:val="0"/>
          <w:bCs w:val="0"/>
          <w:snapToGrid w:val="0"/>
          <w:sz w:val="24"/>
          <w:szCs w:val="24"/>
          <w:rtl/>
          <w:lang w:eastAsia="ja-JP"/>
        </w:rPr>
        <w:t>דומה כי המשאב החיוני ביותר לאדם לאחר האוויר שהוא נושם הוא המים.</w:t>
      </w:r>
      <w:r w:rsidRPr="005E5EA0">
        <w:rPr>
          <w:rStyle w:val="a5"/>
          <w:rFonts w:ascii="Arial" w:eastAsia="Arial Unicode MS" w:hAnsi="Arial"/>
          <w:b w:val="0"/>
          <w:bCs w:val="0"/>
          <w:snapToGrid w:val="0"/>
          <w:sz w:val="24"/>
          <w:szCs w:val="24"/>
          <w:rtl/>
          <w:lang w:eastAsia="ja-JP"/>
        </w:rPr>
        <w:footnoteReference w:id="1"/>
      </w:r>
      <w:r w:rsidR="004A60D7" w:rsidRPr="005E5EA0">
        <w:rPr>
          <w:rFonts w:ascii="Arial" w:eastAsia="Arial Unicode MS" w:hAnsi="Arial" w:hint="cs"/>
          <w:b w:val="0"/>
          <w:bCs w:val="0"/>
          <w:snapToGrid w:val="0"/>
          <w:sz w:val="24"/>
          <w:szCs w:val="24"/>
          <w:rtl/>
          <w:lang w:eastAsia="ja-JP"/>
        </w:rPr>
        <w:t xml:space="preserve"> </w:t>
      </w:r>
      <w:r w:rsidR="00946503" w:rsidRPr="005E5EA0">
        <w:rPr>
          <w:rFonts w:ascii="Arial" w:eastAsia="Arial Unicode MS" w:hAnsi="Arial" w:hint="cs"/>
          <w:b w:val="0"/>
          <w:bCs w:val="0"/>
          <w:snapToGrid w:val="0"/>
          <w:sz w:val="24"/>
          <w:szCs w:val="24"/>
          <w:rtl/>
          <w:lang w:eastAsia="ja-JP"/>
        </w:rPr>
        <w:t xml:space="preserve">על מעמדם של המים ניתן ללמוד מן ההלכה המובאת </w:t>
      </w:r>
      <w:r w:rsidR="004A60D7" w:rsidRPr="005E5EA0">
        <w:rPr>
          <w:rFonts w:ascii="Arial" w:eastAsia="Arial Unicode MS" w:hAnsi="Arial" w:hint="cs"/>
          <w:b w:val="0"/>
          <w:bCs w:val="0"/>
          <w:snapToGrid w:val="0"/>
          <w:sz w:val="24"/>
          <w:szCs w:val="24"/>
          <w:rtl/>
          <w:lang w:eastAsia="ja-JP"/>
        </w:rPr>
        <w:t>בתוספתא</w:t>
      </w:r>
      <w:r w:rsidR="00946503" w:rsidRPr="005E5EA0">
        <w:rPr>
          <w:rFonts w:ascii="Arial" w:eastAsia="Arial Unicode MS" w:hAnsi="Arial" w:hint="cs"/>
          <w:b w:val="0"/>
          <w:bCs w:val="0"/>
          <w:snapToGrid w:val="0"/>
          <w:sz w:val="24"/>
          <w:szCs w:val="24"/>
          <w:rtl/>
          <w:lang w:eastAsia="ja-JP"/>
        </w:rPr>
        <w:t>, הקובעת ש"</w:t>
      </w:r>
      <w:r w:rsidR="004A60D7" w:rsidRPr="005E5EA0">
        <w:rPr>
          <w:rFonts w:ascii="Arial" w:eastAsia="Arial Unicode MS" w:hAnsi="Arial" w:hint="cs"/>
          <w:b w:val="0"/>
          <w:bCs w:val="0"/>
          <w:snapToGrid w:val="0"/>
          <w:sz w:val="24"/>
          <w:szCs w:val="24"/>
          <w:rtl/>
          <w:lang w:eastAsia="ja-JP"/>
        </w:rPr>
        <w:t xml:space="preserve">הנהרות והמעיינות שמושכין </w:t>
      </w:r>
      <w:r w:rsidR="004A60D7" w:rsidRPr="005E5EA0">
        <w:rPr>
          <w:rFonts w:ascii="Arial" w:eastAsia="Arial Unicode MS" w:hAnsi="Arial"/>
          <w:b w:val="0"/>
          <w:bCs w:val="0"/>
          <w:snapToGrid w:val="0"/>
          <w:sz w:val="24"/>
          <w:szCs w:val="24"/>
          <w:rtl/>
          <w:lang w:eastAsia="ja-JP"/>
        </w:rPr>
        <w:t>–</w:t>
      </w:r>
      <w:r w:rsidR="004A60D7" w:rsidRPr="005E5EA0">
        <w:rPr>
          <w:rFonts w:ascii="Arial" w:eastAsia="Arial Unicode MS" w:hAnsi="Arial" w:hint="cs"/>
          <w:b w:val="0"/>
          <w:bCs w:val="0"/>
          <w:snapToGrid w:val="0"/>
          <w:sz w:val="24"/>
          <w:szCs w:val="24"/>
          <w:rtl/>
          <w:lang w:eastAsia="ja-JP"/>
        </w:rPr>
        <w:t xml:space="preserve"> הרי הן של כל אדם".</w:t>
      </w:r>
      <w:r w:rsidR="004A60D7" w:rsidRPr="005E5EA0">
        <w:rPr>
          <w:rStyle w:val="a5"/>
          <w:rFonts w:ascii="Arial" w:eastAsia="Arial Unicode MS" w:hAnsi="Arial"/>
          <w:b w:val="0"/>
          <w:bCs w:val="0"/>
          <w:snapToGrid w:val="0"/>
          <w:sz w:val="24"/>
          <w:szCs w:val="24"/>
          <w:rtl/>
          <w:lang w:eastAsia="ja-JP"/>
        </w:rPr>
        <w:footnoteReference w:id="2"/>
      </w:r>
      <w:r w:rsidR="004A60D7" w:rsidRPr="005E5EA0">
        <w:rPr>
          <w:rFonts w:ascii="Arial" w:eastAsia="Arial Unicode MS" w:hAnsi="Arial" w:hint="cs"/>
          <w:b w:val="0"/>
          <w:bCs w:val="0"/>
          <w:snapToGrid w:val="0"/>
          <w:sz w:val="24"/>
          <w:szCs w:val="24"/>
          <w:rtl/>
          <w:lang w:eastAsia="ja-JP"/>
        </w:rPr>
        <w:t xml:space="preserve"> </w:t>
      </w:r>
      <w:r w:rsidR="00946503" w:rsidRPr="005E5EA0">
        <w:rPr>
          <w:rFonts w:ascii="Arial" w:eastAsia="Arial Unicode MS" w:hAnsi="Arial" w:hint="cs"/>
          <w:b w:val="0"/>
          <w:bCs w:val="0"/>
          <w:snapToGrid w:val="0"/>
          <w:sz w:val="24"/>
          <w:szCs w:val="24"/>
          <w:rtl/>
          <w:lang w:eastAsia="ja-JP"/>
        </w:rPr>
        <w:t xml:space="preserve">הלכה זו יוחסה </w:t>
      </w:r>
      <w:r w:rsidR="004A60D7" w:rsidRPr="005E5EA0">
        <w:rPr>
          <w:rFonts w:ascii="Arial" w:eastAsia="Arial Unicode MS" w:hAnsi="Arial" w:hint="cs"/>
          <w:b w:val="0"/>
          <w:bCs w:val="0"/>
          <w:snapToGrid w:val="0"/>
          <w:sz w:val="24"/>
          <w:szCs w:val="24"/>
          <w:rtl/>
          <w:lang w:eastAsia="ja-JP"/>
        </w:rPr>
        <w:t>בתלמוד</w:t>
      </w:r>
      <w:r w:rsidR="00F24246" w:rsidRPr="005E5EA0">
        <w:rPr>
          <w:rFonts w:ascii="Arial" w:eastAsia="Arial Unicode MS" w:hAnsi="Arial" w:hint="cs"/>
          <w:b w:val="0"/>
          <w:bCs w:val="0"/>
          <w:snapToGrid w:val="0"/>
          <w:sz w:val="24"/>
          <w:szCs w:val="24"/>
          <w:rtl/>
          <w:lang w:eastAsia="ja-JP"/>
        </w:rPr>
        <w:t xml:space="preserve"> </w:t>
      </w:r>
      <w:r w:rsidR="004A60D7" w:rsidRPr="005E5EA0">
        <w:rPr>
          <w:rFonts w:ascii="Arial" w:eastAsia="Arial Unicode MS" w:hAnsi="Arial" w:hint="cs"/>
          <w:b w:val="0"/>
          <w:bCs w:val="0"/>
          <w:snapToGrid w:val="0"/>
          <w:sz w:val="24"/>
          <w:szCs w:val="24"/>
          <w:rtl/>
          <w:lang w:eastAsia="ja-JP"/>
        </w:rPr>
        <w:t xml:space="preserve">ליהושע בן נון, שקבעה כתקנה מיוחדת </w:t>
      </w:r>
      <w:r w:rsidR="00F24246" w:rsidRPr="005E5EA0">
        <w:rPr>
          <w:rFonts w:ascii="Arial" w:eastAsia="Arial Unicode MS" w:hAnsi="Arial" w:hint="cs"/>
          <w:b w:val="0"/>
          <w:bCs w:val="0"/>
          <w:snapToGrid w:val="0"/>
          <w:sz w:val="24"/>
          <w:szCs w:val="24"/>
          <w:rtl/>
          <w:lang w:eastAsia="ja-JP"/>
        </w:rPr>
        <w:t>עם כניסת בני ישראל לארץ ישראל: "</w:t>
      </w:r>
      <w:r w:rsidR="004A60D7" w:rsidRPr="005E5EA0">
        <w:rPr>
          <w:rFonts w:ascii="Arial" w:eastAsia="Arial Unicode MS" w:hAnsi="Arial"/>
          <w:b w:val="0"/>
          <w:bCs w:val="0"/>
          <w:snapToGrid w:val="0"/>
          <w:sz w:val="24"/>
          <w:szCs w:val="24"/>
          <w:rtl/>
          <w:lang w:eastAsia="ja-JP"/>
        </w:rPr>
        <w:t>וכן התנה שהמעיין היוצא בתחילה בני אותה העיר שיצא בגבולם מסתפקין ממנו</w:t>
      </w:r>
      <w:r w:rsidR="004A60D7" w:rsidRPr="005E5EA0">
        <w:rPr>
          <w:rFonts w:ascii="Arial" w:eastAsia="Arial Unicode MS" w:hAnsi="Arial" w:hint="cs"/>
          <w:b w:val="0"/>
          <w:bCs w:val="0"/>
          <w:snapToGrid w:val="0"/>
          <w:sz w:val="24"/>
          <w:szCs w:val="24"/>
          <w:rtl/>
          <w:lang w:eastAsia="ja-JP"/>
        </w:rPr>
        <w:t>,</w:t>
      </w:r>
      <w:r w:rsidR="004A60D7" w:rsidRPr="005E5EA0">
        <w:rPr>
          <w:rFonts w:ascii="Arial" w:eastAsia="Arial Unicode MS" w:hAnsi="Arial"/>
          <w:b w:val="0"/>
          <w:bCs w:val="0"/>
          <w:snapToGrid w:val="0"/>
          <w:sz w:val="24"/>
          <w:szCs w:val="24"/>
          <w:rtl/>
          <w:lang w:eastAsia="ja-JP"/>
        </w:rPr>
        <w:t xml:space="preserve"> א</w:t>
      </w:r>
      <w:r w:rsidR="004A60D7" w:rsidRPr="005E5EA0">
        <w:rPr>
          <w:rFonts w:ascii="Arial" w:eastAsia="Arial Unicode MS" w:hAnsi="Arial" w:hint="cs"/>
          <w:b w:val="0"/>
          <w:bCs w:val="0"/>
          <w:snapToGrid w:val="0"/>
          <w:sz w:val="24"/>
          <w:szCs w:val="24"/>
          <w:rtl/>
          <w:lang w:eastAsia="ja-JP"/>
        </w:rPr>
        <w:t xml:space="preserve">ף על פי </w:t>
      </w:r>
      <w:r w:rsidR="004A60D7" w:rsidRPr="005E5EA0">
        <w:rPr>
          <w:rFonts w:ascii="Arial" w:eastAsia="Arial Unicode MS" w:hAnsi="Arial"/>
          <w:b w:val="0"/>
          <w:bCs w:val="0"/>
          <w:snapToGrid w:val="0"/>
          <w:sz w:val="24"/>
          <w:szCs w:val="24"/>
          <w:rtl/>
          <w:lang w:eastAsia="ja-JP"/>
        </w:rPr>
        <w:t>שאין עיקרו בחלקם</w:t>
      </w:r>
      <w:r w:rsidR="00F24246" w:rsidRPr="005E5EA0">
        <w:rPr>
          <w:rFonts w:ascii="Arial" w:eastAsia="Arial Unicode MS" w:hAnsi="Arial" w:hint="cs"/>
          <w:b w:val="0"/>
          <w:bCs w:val="0"/>
          <w:snapToGrid w:val="0"/>
          <w:sz w:val="24"/>
          <w:szCs w:val="24"/>
          <w:rtl/>
          <w:lang w:eastAsia="ja-JP"/>
        </w:rPr>
        <w:t>"</w:t>
      </w:r>
      <w:r w:rsidR="004A60D7" w:rsidRPr="005E5EA0">
        <w:rPr>
          <w:rFonts w:ascii="Arial" w:eastAsia="Arial Unicode MS" w:hAnsi="Arial" w:hint="cs"/>
          <w:b w:val="0"/>
          <w:bCs w:val="0"/>
          <w:snapToGrid w:val="0"/>
          <w:sz w:val="24"/>
          <w:szCs w:val="24"/>
          <w:rtl/>
          <w:lang w:eastAsia="ja-JP"/>
        </w:rPr>
        <w:t>.</w:t>
      </w:r>
      <w:r w:rsidR="004A60D7" w:rsidRPr="005E5EA0">
        <w:rPr>
          <w:rStyle w:val="a5"/>
          <w:rFonts w:ascii="Arial" w:eastAsia="Arial Unicode MS" w:hAnsi="Arial"/>
          <w:b w:val="0"/>
          <w:bCs w:val="0"/>
          <w:snapToGrid w:val="0"/>
          <w:sz w:val="24"/>
          <w:szCs w:val="24"/>
          <w:rtl/>
          <w:lang w:eastAsia="ja-JP"/>
        </w:rPr>
        <w:footnoteReference w:id="3"/>
      </w:r>
    </w:p>
    <w:p w:rsidR="004A60D7" w:rsidRPr="005E5EA0" w:rsidRDefault="004A60D7" w:rsidP="00F24246">
      <w:pPr>
        <w:pStyle w:val="1"/>
        <w:numPr>
          <w:ilvl w:val="0"/>
          <w:numId w:val="0"/>
        </w:numPr>
        <w:spacing w:before="120"/>
        <w:ind w:right="0"/>
        <w:rPr>
          <w:rFonts w:ascii="Arial" w:eastAsia="Arial Unicode MS" w:hAnsi="Arial"/>
          <w:b w:val="0"/>
          <w:bCs w:val="0"/>
          <w:snapToGrid w:val="0"/>
          <w:sz w:val="24"/>
          <w:szCs w:val="24"/>
          <w:rtl/>
          <w:lang w:eastAsia="ja-JP"/>
        </w:rPr>
      </w:pPr>
      <w:r w:rsidRPr="005E5EA0">
        <w:rPr>
          <w:rFonts w:ascii="Arial" w:eastAsia="Arial Unicode MS" w:hAnsi="Arial" w:hint="cs"/>
          <w:b w:val="0"/>
          <w:bCs w:val="0"/>
          <w:snapToGrid w:val="0"/>
          <w:sz w:val="24"/>
          <w:szCs w:val="24"/>
          <w:rtl/>
          <w:lang w:eastAsia="ja-JP"/>
        </w:rPr>
        <w:t>משמעותה של תקנ</w:t>
      </w:r>
      <w:r w:rsidR="00F24246" w:rsidRPr="005E5EA0">
        <w:rPr>
          <w:rFonts w:ascii="Arial" w:eastAsia="Arial Unicode MS" w:hAnsi="Arial" w:hint="cs"/>
          <w:b w:val="0"/>
          <w:bCs w:val="0"/>
          <w:snapToGrid w:val="0"/>
          <w:sz w:val="24"/>
          <w:szCs w:val="24"/>
          <w:rtl/>
          <w:lang w:eastAsia="ja-JP"/>
        </w:rPr>
        <w:t xml:space="preserve">ת יהושע </w:t>
      </w:r>
      <w:r w:rsidRPr="005E5EA0">
        <w:rPr>
          <w:rFonts w:ascii="Arial" w:eastAsia="Arial Unicode MS" w:hAnsi="Arial" w:hint="cs"/>
          <w:b w:val="0"/>
          <w:bCs w:val="0"/>
          <w:snapToGrid w:val="0"/>
          <w:sz w:val="24"/>
          <w:szCs w:val="24"/>
          <w:rtl/>
          <w:lang w:eastAsia="ja-JP"/>
        </w:rPr>
        <w:t>היא, שכאשר מעיין חדש יוצא ממקרקעיו של אדם, כל בני עירו זכאים לקבל אספקת מים מן המעיין, ולא רק מי שבחלקתו יצא המעיין.</w:t>
      </w:r>
      <w:bookmarkStart w:id="1" w:name="_Ref381281134"/>
      <w:r w:rsidRPr="005E5EA0">
        <w:rPr>
          <w:rStyle w:val="a5"/>
          <w:rFonts w:ascii="Arial" w:eastAsia="Arial Unicode MS" w:hAnsi="Arial"/>
          <w:b w:val="0"/>
          <w:bCs w:val="0"/>
          <w:snapToGrid w:val="0"/>
          <w:sz w:val="24"/>
          <w:szCs w:val="24"/>
          <w:rtl/>
          <w:lang w:eastAsia="ja-JP"/>
        </w:rPr>
        <w:footnoteReference w:id="4"/>
      </w:r>
      <w:bookmarkEnd w:id="1"/>
      <w:r w:rsidRPr="005E5EA0">
        <w:rPr>
          <w:rFonts w:ascii="Arial" w:eastAsia="Arial Unicode MS" w:hAnsi="Arial" w:hint="cs"/>
          <w:b w:val="0"/>
          <w:bCs w:val="0"/>
          <w:snapToGrid w:val="0"/>
          <w:sz w:val="24"/>
          <w:szCs w:val="24"/>
          <w:rtl/>
          <w:lang w:eastAsia="ja-JP"/>
        </w:rPr>
        <w:t xml:space="preserve"> מקורות המים העירוניים שייכים לכל בני העיר, ובשל כך, אספקת המים ממקורות אלו היא לבני העיר. </w:t>
      </w:r>
    </w:p>
    <w:p w:rsidR="004A60D7" w:rsidRDefault="00F24246" w:rsidP="00841981">
      <w:pPr>
        <w:pStyle w:val="1"/>
        <w:numPr>
          <w:ilvl w:val="0"/>
          <w:numId w:val="0"/>
        </w:numPr>
        <w:spacing w:before="120"/>
        <w:ind w:right="0"/>
        <w:rPr>
          <w:rFonts w:ascii="Arial" w:eastAsia="Arial Unicode MS" w:hAnsi="Arial"/>
          <w:b w:val="0"/>
          <w:bCs w:val="0"/>
          <w:snapToGrid w:val="0"/>
          <w:spacing w:val="-2"/>
          <w:sz w:val="24"/>
          <w:szCs w:val="24"/>
          <w:rtl/>
          <w:lang w:eastAsia="ja-JP"/>
        </w:rPr>
      </w:pPr>
      <w:r w:rsidRPr="005E5EA0">
        <w:rPr>
          <w:rFonts w:ascii="Arial" w:eastAsia="Arial Unicode MS" w:hAnsi="Arial" w:hint="cs"/>
          <w:b w:val="0"/>
          <w:bCs w:val="0"/>
          <w:snapToGrid w:val="0"/>
          <w:sz w:val="24"/>
          <w:szCs w:val="24"/>
          <w:rtl/>
          <w:lang w:eastAsia="ja-JP"/>
        </w:rPr>
        <w:t xml:space="preserve">אמנם, </w:t>
      </w:r>
      <w:r w:rsidR="0066156A">
        <w:rPr>
          <w:rFonts w:ascii="Arial" w:eastAsia="Arial Unicode MS" w:hAnsi="Arial" w:hint="cs"/>
          <w:b w:val="0"/>
          <w:bCs w:val="0"/>
          <w:snapToGrid w:val="0"/>
          <w:sz w:val="24"/>
          <w:szCs w:val="24"/>
          <w:rtl/>
          <w:lang w:eastAsia="ja-JP"/>
        </w:rPr>
        <w:t>מנוסח התקנה קשה להסיק</w:t>
      </w:r>
      <w:r w:rsidR="00007E3C" w:rsidRPr="005E5EA0">
        <w:rPr>
          <w:rFonts w:ascii="Arial" w:eastAsia="Arial Unicode MS" w:hAnsi="Arial" w:hint="cs"/>
          <w:b w:val="0"/>
          <w:bCs w:val="0"/>
          <w:snapToGrid w:val="0"/>
          <w:sz w:val="24"/>
          <w:szCs w:val="24"/>
          <w:rtl/>
          <w:lang w:eastAsia="ja-JP"/>
        </w:rPr>
        <w:t xml:space="preserve">, האם זכותם של כל בני העיר לקבל מים מן המעיין שמקורותיו בחלקה הפרטית מותנית בתשלום של תמורה הולמת עבור השימוש במים, או שמא </w:t>
      </w:r>
      <w:r w:rsidR="00007E3C" w:rsidRPr="005E5EA0">
        <w:rPr>
          <w:rFonts w:ascii="Arial" w:eastAsia="Arial Unicode MS" w:hAnsi="Arial" w:hint="cs"/>
          <w:b w:val="0"/>
          <w:bCs w:val="0"/>
          <w:snapToGrid w:val="0"/>
          <w:sz w:val="24"/>
          <w:szCs w:val="24"/>
          <w:rtl/>
          <w:lang w:eastAsia="ja-JP"/>
        </w:rPr>
        <w:lastRenderedPageBreak/>
        <w:t xml:space="preserve">זוהי זכות מוחלטת, שאינה תלויה בתשלום עבור המים. בעניין זה נחלקו האמוראים. </w:t>
      </w:r>
      <w:r w:rsidR="00367195" w:rsidRPr="005E5EA0">
        <w:rPr>
          <w:rFonts w:ascii="Arial" w:eastAsia="Arial Unicode MS" w:hAnsi="Arial" w:hint="cs"/>
          <w:b w:val="0"/>
          <w:bCs w:val="0"/>
          <w:snapToGrid w:val="0"/>
          <w:sz w:val="24"/>
          <w:szCs w:val="24"/>
          <w:rtl/>
          <w:lang w:eastAsia="ja-JP"/>
        </w:rPr>
        <w:t>התלמוד</w:t>
      </w:r>
      <w:r w:rsidR="00367195" w:rsidRPr="005E5EA0">
        <w:rPr>
          <w:rStyle w:val="a5"/>
          <w:rFonts w:ascii="Arial" w:eastAsia="Arial Unicode MS" w:hAnsi="Arial"/>
          <w:b w:val="0"/>
          <w:bCs w:val="0"/>
          <w:snapToGrid w:val="0"/>
          <w:sz w:val="24"/>
          <w:szCs w:val="24"/>
          <w:rtl/>
          <w:lang w:eastAsia="ja-JP"/>
        </w:rPr>
        <w:footnoteReference w:id="5"/>
      </w:r>
      <w:r w:rsidR="00367195" w:rsidRPr="005E5EA0">
        <w:rPr>
          <w:rFonts w:ascii="Arial" w:eastAsia="Arial Unicode MS" w:hAnsi="Arial" w:hint="cs"/>
          <w:b w:val="0"/>
          <w:bCs w:val="0"/>
          <w:snapToGrid w:val="0"/>
          <w:sz w:val="24"/>
          <w:szCs w:val="24"/>
          <w:rtl/>
          <w:lang w:eastAsia="ja-JP"/>
        </w:rPr>
        <w:t xml:space="preserve"> מביא בהקשר זה את עמדתו של </w:t>
      </w:r>
      <w:r w:rsidR="004A60D7" w:rsidRPr="005E5EA0">
        <w:rPr>
          <w:rFonts w:ascii="Arial" w:eastAsia="Arial Unicode MS" w:hAnsi="Arial" w:hint="cs"/>
          <w:b w:val="0"/>
          <w:bCs w:val="0"/>
          <w:snapToGrid w:val="0"/>
          <w:sz w:val="24"/>
          <w:szCs w:val="24"/>
          <w:rtl/>
          <w:lang w:eastAsia="ja-JP"/>
        </w:rPr>
        <w:t xml:space="preserve">רבה בר רב הונא, </w:t>
      </w:r>
      <w:r w:rsidR="00367195" w:rsidRPr="005E5EA0">
        <w:rPr>
          <w:rFonts w:ascii="Arial" w:eastAsia="Arial Unicode MS" w:hAnsi="Arial" w:hint="cs"/>
          <w:b w:val="0"/>
          <w:bCs w:val="0"/>
          <w:snapToGrid w:val="0"/>
          <w:sz w:val="24"/>
          <w:szCs w:val="24"/>
          <w:rtl/>
          <w:lang w:eastAsia="ja-JP"/>
        </w:rPr>
        <w:t>ש</w:t>
      </w:r>
      <w:r w:rsidR="004A60D7" w:rsidRPr="005E5EA0">
        <w:rPr>
          <w:rFonts w:ascii="Arial" w:eastAsia="Arial Unicode MS" w:hAnsi="Arial" w:hint="cs"/>
          <w:b w:val="0"/>
          <w:bCs w:val="0"/>
          <w:snapToGrid w:val="0"/>
          <w:sz w:val="24"/>
          <w:szCs w:val="24"/>
          <w:rtl/>
          <w:lang w:eastAsia="ja-JP"/>
        </w:rPr>
        <w:t>"נותן לו דמים"</w:t>
      </w:r>
      <w:r w:rsidR="00367195" w:rsidRPr="005E5EA0">
        <w:rPr>
          <w:rFonts w:ascii="Arial" w:eastAsia="Arial Unicode MS" w:hAnsi="Arial" w:hint="cs"/>
          <w:b w:val="0"/>
          <w:bCs w:val="0"/>
          <w:snapToGrid w:val="0"/>
          <w:sz w:val="24"/>
          <w:szCs w:val="24"/>
          <w:rtl/>
          <w:lang w:eastAsia="ja-JP"/>
        </w:rPr>
        <w:t>, אך מדגיש ש"לית הלכתא כוותיה</w:t>
      </w:r>
      <w:r w:rsidR="0066156A">
        <w:rPr>
          <w:rFonts w:ascii="Arial" w:eastAsia="Arial Unicode MS" w:hAnsi="Arial" w:hint="cs"/>
          <w:b w:val="0"/>
          <w:bCs w:val="0"/>
          <w:snapToGrid w:val="0"/>
          <w:sz w:val="24"/>
          <w:szCs w:val="24"/>
          <w:rtl/>
          <w:lang w:eastAsia="ja-JP"/>
        </w:rPr>
        <w:t xml:space="preserve"> [אין הלכה כמותו]</w:t>
      </w:r>
      <w:r w:rsidR="00367195" w:rsidRPr="005E5EA0">
        <w:rPr>
          <w:rFonts w:ascii="Arial" w:eastAsia="Arial Unicode MS" w:hAnsi="Arial" w:hint="cs"/>
          <w:b w:val="0"/>
          <w:bCs w:val="0"/>
          <w:snapToGrid w:val="0"/>
          <w:sz w:val="24"/>
          <w:szCs w:val="24"/>
          <w:rtl/>
          <w:lang w:eastAsia="ja-JP"/>
        </w:rPr>
        <w:t>"</w:t>
      </w:r>
      <w:r w:rsidR="004A60D7" w:rsidRPr="005E5EA0">
        <w:rPr>
          <w:rFonts w:ascii="Arial" w:eastAsia="Arial Unicode MS" w:hAnsi="Arial" w:hint="cs"/>
          <w:b w:val="0"/>
          <w:bCs w:val="0"/>
          <w:snapToGrid w:val="0"/>
          <w:sz w:val="24"/>
          <w:szCs w:val="24"/>
          <w:rtl/>
          <w:lang w:eastAsia="ja-JP"/>
        </w:rPr>
        <w:t xml:space="preserve">. </w:t>
      </w:r>
      <w:r w:rsidR="00367195" w:rsidRPr="005E5EA0">
        <w:rPr>
          <w:rFonts w:ascii="Arial" w:eastAsia="Arial Unicode MS" w:hAnsi="Arial" w:hint="cs"/>
          <w:b w:val="0"/>
          <w:bCs w:val="0"/>
          <w:snapToGrid w:val="0"/>
          <w:sz w:val="24"/>
          <w:szCs w:val="24"/>
          <w:rtl/>
          <w:lang w:eastAsia="ja-JP"/>
        </w:rPr>
        <w:t>רבה בר רב הונא</w:t>
      </w:r>
      <w:r w:rsidR="00841981">
        <w:rPr>
          <w:rFonts w:ascii="Arial" w:eastAsia="Arial Unicode MS" w:hAnsi="Arial" w:hint="cs"/>
          <w:b w:val="0"/>
          <w:bCs w:val="0"/>
          <w:snapToGrid w:val="0"/>
          <w:sz w:val="24"/>
          <w:szCs w:val="24"/>
          <w:rtl/>
          <w:lang w:eastAsia="ja-JP"/>
        </w:rPr>
        <w:t xml:space="preserve"> סבר אם כן</w:t>
      </w:r>
      <w:r w:rsidR="00367195" w:rsidRPr="005E5EA0">
        <w:rPr>
          <w:rFonts w:ascii="Arial" w:eastAsia="Arial Unicode MS" w:hAnsi="Arial" w:hint="cs"/>
          <w:b w:val="0"/>
          <w:bCs w:val="0"/>
          <w:snapToGrid w:val="0"/>
          <w:sz w:val="24"/>
          <w:szCs w:val="24"/>
          <w:rtl/>
          <w:lang w:eastAsia="ja-JP"/>
        </w:rPr>
        <w:t xml:space="preserve">, </w:t>
      </w:r>
      <w:r w:rsidR="00841981">
        <w:rPr>
          <w:rFonts w:ascii="Arial" w:eastAsia="Arial Unicode MS" w:hAnsi="Arial" w:hint="cs"/>
          <w:b w:val="0"/>
          <w:bCs w:val="0"/>
          <w:snapToGrid w:val="0"/>
          <w:sz w:val="24"/>
          <w:szCs w:val="24"/>
          <w:rtl/>
          <w:lang w:eastAsia="ja-JP"/>
        </w:rPr>
        <w:t>ש</w:t>
      </w:r>
      <w:r w:rsidR="00367195" w:rsidRPr="005E5EA0">
        <w:rPr>
          <w:rFonts w:ascii="Arial" w:eastAsia="Arial Unicode MS" w:hAnsi="Arial" w:hint="cs"/>
          <w:b w:val="0"/>
          <w:bCs w:val="0"/>
          <w:snapToGrid w:val="0"/>
          <w:sz w:val="24"/>
          <w:szCs w:val="24"/>
          <w:rtl/>
          <w:lang w:eastAsia="ja-JP"/>
        </w:rPr>
        <w:t>מי המעיין אינם 'משאב ציבורי' אלא 'מצרך', הנבדל מכל 'מצרך' אחר, רק בכך שבעליו אינו רשאי לשלול אותו ממי שמוכן לשלם עבורו. אולם דעתו נדחתה, משום ש</w:t>
      </w:r>
      <w:r w:rsidR="00841981">
        <w:rPr>
          <w:rFonts w:ascii="Arial" w:eastAsia="Arial Unicode MS" w:hAnsi="Arial" w:hint="cs"/>
          <w:b w:val="0"/>
          <w:bCs w:val="0"/>
          <w:snapToGrid w:val="0"/>
          <w:sz w:val="24"/>
          <w:szCs w:val="24"/>
          <w:rtl/>
          <w:lang w:eastAsia="ja-JP"/>
        </w:rPr>
        <w:t xml:space="preserve">חבריו החכמים </w:t>
      </w:r>
      <w:r w:rsidR="00367195" w:rsidRPr="005E5EA0">
        <w:rPr>
          <w:rFonts w:ascii="Arial" w:eastAsia="Arial Unicode MS" w:hAnsi="Arial" w:hint="cs"/>
          <w:b w:val="0"/>
          <w:bCs w:val="0"/>
          <w:snapToGrid w:val="0"/>
          <w:sz w:val="24"/>
          <w:szCs w:val="24"/>
          <w:rtl/>
          <w:lang w:eastAsia="ja-JP"/>
        </w:rPr>
        <w:t>סברו שהמים אינם 'מצרך' אלא 'משאב ציבורי', ש</w:t>
      </w:r>
      <w:r w:rsidR="005E5EA0" w:rsidRPr="005E5EA0">
        <w:rPr>
          <w:rFonts w:ascii="Arial" w:eastAsia="Arial Unicode MS" w:hAnsi="Arial" w:hint="cs"/>
          <w:b w:val="0"/>
          <w:bCs w:val="0"/>
          <w:snapToGrid w:val="0"/>
          <w:sz w:val="24"/>
          <w:szCs w:val="24"/>
          <w:rtl/>
          <w:lang w:eastAsia="ja-JP"/>
        </w:rPr>
        <w:t xml:space="preserve">יש להבטיח את זמינותו לכל בעני העיר, </w:t>
      </w:r>
      <w:r w:rsidR="004A60D7" w:rsidRPr="005E5EA0">
        <w:rPr>
          <w:rFonts w:ascii="Arial" w:eastAsia="Arial Unicode MS" w:hAnsi="Arial" w:hint="cs"/>
          <w:b w:val="0"/>
          <w:bCs w:val="0"/>
          <w:snapToGrid w:val="0"/>
          <w:sz w:val="24"/>
          <w:szCs w:val="24"/>
          <w:rtl/>
          <w:lang w:eastAsia="ja-JP"/>
        </w:rPr>
        <w:t>חינם אין כסף</w:t>
      </w:r>
      <w:r w:rsidR="004A60D7">
        <w:rPr>
          <w:rFonts w:ascii="Arial" w:eastAsia="Arial Unicode MS" w:hAnsi="Arial" w:hint="cs"/>
          <w:b w:val="0"/>
          <w:bCs w:val="0"/>
          <w:snapToGrid w:val="0"/>
          <w:spacing w:val="-2"/>
          <w:sz w:val="24"/>
          <w:szCs w:val="24"/>
          <w:rtl/>
          <w:lang w:eastAsia="ja-JP"/>
        </w:rPr>
        <w:t xml:space="preserve">. </w:t>
      </w:r>
    </w:p>
    <w:p w:rsidR="00610EEA" w:rsidRDefault="00610EEA" w:rsidP="00610EEA">
      <w:pPr>
        <w:pStyle w:val="1"/>
        <w:numPr>
          <w:ilvl w:val="0"/>
          <w:numId w:val="0"/>
        </w:numPr>
        <w:spacing w:before="120"/>
        <w:ind w:right="0"/>
        <w:rPr>
          <w:rFonts w:ascii="Arial" w:eastAsia="Arial Unicode MS" w:hAnsi="Arial"/>
          <w:b w:val="0"/>
          <w:bCs w:val="0"/>
          <w:snapToGrid w:val="0"/>
          <w:spacing w:val="-2"/>
          <w:sz w:val="24"/>
          <w:szCs w:val="24"/>
          <w:rtl/>
          <w:lang w:eastAsia="ja-JP"/>
        </w:rPr>
      </w:pPr>
      <w:r>
        <w:rPr>
          <w:rFonts w:ascii="Arial" w:eastAsia="Arial Unicode MS" w:hAnsi="Arial" w:hint="cs"/>
          <w:b w:val="0"/>
          <w:bCs w:val="0"/>
          <w:snapToGrid w:val="0"/>
          <w:spacing w:val="-2"/>
          <w:sz w:val="24"/>
          <w:szCs w:val="24"/>
          <w:rtl/>
          <w:lang w:eastAsia="ja-JP"/>
        </w:rPr>
        <w:t>אולם, לכאורה, מסקנה זו נסתרת ממקור תלמודי אחר, העוסק בהלכות עבודה זרה.</w:t>
      </w:r>
      <w:r w:rsidR="003A2913">
        <w:rPr>
          <w:rStyle w:val="a5"/>
          <w:rFonts w:ascii="Arial" w:eastAsia="Arial Unicode MS" w:hAnsi="Arial"/>
          <w:b w:val="0"/>
          <w:bCs w:val="0"/>
          <w:snapToGrid w:val="0"/>
          <w:spacing w:val="-2"/>
          <w:sz w:val="24"/>
          <w:szCs w:val="24"/>
          <w:rtl/>
          <w:lang w:eastAsia="ja-JP"/>
        </w:rPr>
        <w:footnoteReference w:id="6"/>
      </w:r>
      <w:r>
        <w:rPr>
          <w:rFonts w:ascii="Arial" w:eastAsia="Arial Unicode MS" w:hAnsi="Arial" w:hint="cs"/>
          <w:b w:val="0"/>
          <w:bCs w:val="0"/>
          <w:snapToGrid w:val="0"/>
          <w:spacing w:val="-2"/>
          <w:sz w:val="24"/>
          <w:szCs w:val="24"/>
          <w:rtl/>
          <w:lang w:eastAsia="ja-JP"/>
        </w:rPr>
        <w:t xml:space="preserve"> בתלמוד מובאת שאלתו של האמורא רבה, "</w:t>
      </w:r>
      <w:r w:rsidRPr="00610EEA">
        <w:rPr>
          <w:rFonts w:ascii="Arial" w:eastAsia="Arial Unicode MS" w:hAnsi="Arial"/>
          <w:b w:val="0"/>
          <w:bCs w:val="0"/>
          <w:snapToGrid w:val="0"/>
          <w:spacing w:val="-2"/>
          <w:sz w:val="24"/>
          <w:szCs w:val="24"/>
          <w:rtl/>
          <w:lang w:eastAsia="ja-JP"/>
        </w:rPr>
        <w:t>המשתחוה למעין, מימיו מהו לנסכים?</w:t>
      </w:r>
      <w:r>
        <w:rPr>
          <w:rFonts w:ascii="Arial" w:eastAsia="Arial Unicode MS" w:hAnsi="Arial" w:hint="cs"/>
          <w:b w:val="0"/>
          <w:bCs w:val="0"/>
          <w:snapToGrid w:val="0"/>
          <w:spacing w:val="-2"/>
          <w:sz w:val="24"/>
          <w:szCs w:val="24"/>
          <w:rtl/>
          <w:lang w:eastAsia="ja-JP"/>
        </w:rPr>
        <w:t>" כלומר, האם מי שמשחווה למי המעיין עושה אותם למים שנעבדה בהם עבודה זרה, הפסולים לניסוך על גבי המזבח?</w:t>
      </w:r>
    </w:p>
    <w:p w:rsidR="00E315C3" w:rsidRPr="003A2913" w:rsidRDefault="00610EEA" w:rsidP="00E315C3">
      <w:pPr>
        <w:pStyle w:val="1"/>
        <w:numPr>
          <w:ilvl w:val="0"/>
          <w:numId w:val="0"/>
        </w:numPr>
        <w:spacing w:before="120"/>
        <w:ind w:right="0"/>
        <w:rPr>
          <w:rFonts w:ascii="Arial" w:eastAsia="Arial Unicode MS" w:hAnsi="Arial"/>
          <w:b w:val="0"/>
          <w:bCs w:val="0"/>
          <w:snapToGrid w:val="0"/>
          <w:sz w:val="24"/>
          <w:szCs w:val="24"/>
          <w:rtl/>
          <w:lang w:eastAsia="ja-JP"/>
        </w:rPr>
      </w:pPr>
      <w:r w:rsidRPr="003A2913">
        <w:rPr>
          <w:rFonts w:ascii="Arial" w:eastAsia="Arial Unicode MS" w:hAnsi="Arial" w:hint="cs"/>
          <w:b w:val="0"/>
          <w:bCs w:val="0"/>
          <w:snapToGrid w:val="0"/>
          <w:sz w:val="24"/>
          <w:szCs w:val="24"/>
          <w:rtl/>
          <w:lang w:eastAsia="ja-JP"/>
        </w:rPr>
        <w:t>על שאלה זו מקשה התלמוד: "</w:t>
      </w:r>
      <w:r w:rsidRPr="003A2913">
        <w:rPr>
          <w:rFonts w:ascii="Arial" w:eastAsia="Arial Unicode MS" w:hAnsi="Arial"/>
          <w:b w:val="0"/>
          <w:bCs w:val="0"/>
          <w:snapToGrid w:val="0"/>
          <w:sz w:val="24"/>
          <w:szCs w:val="24"/>
          <w:rtl/>
          <w:lang w:eastAsia="ja-JP"/>
        </w:rPr>
        <w:t xml:space="preserve">ומי </w:t>
      </w:r>
      <w:proofErr w:type="spellStart"/>
      <w:r w:rsidRPr="003A2913">
        <w:rPr>
          <w:rFonts w:ascii="Arial" w:eastAsia="Arial Unicode MS" w:hAnsi="Arial"/>
          <w:b w:val="0"/>
          <w:bCs w:val="0"/>
          <w:snapToGrid w:val="0"/>
          <w:sz w:val="24"/>
          <w:szCs w:val="24"/>
          <w:rtl/>
          <w:lang w:eastAsia="ja-JP"/>
        </w:rPr>
        <w:t>מיתסרי</w:t>
      </w:r>
      <w:proofErr w:type="spellEnd"/>
      <w:r w:rsidR="0066156A">
        <w:rPr>
          <w:rFonts w:ascii="Arial" w:eastAsia="Arial Unicode MS" w:hAnsi="Arial" w:hint="cs"/>
          <w:b w:val="0"/>
          <w:bCs w:val="0"/>
          <w:snapToGrid w:val="0"/>
          <w:sz w:val="24"/>
          <w:szCs w:val="24"/>
          <w:rtl/>
          <w:lang w:eastAsia="ja-JP"/>
        </w:rPr>
        <w:t xml:space="preserve"> [האם הם נאסרים]</w:t>
      </w:r>
      <w:r w:rsidRPr="003A2913">
        <w:rPr>
          <w:rFonts w:ascii="Arial" w:eastAsia="Arial Unicode MS" w:hAnsi="Arial"/>
          <w:b w:val="0"/>
          <w:bCs w:val="0"/>
          <w:snapToGrid w:val="0"/>
          <w:sz w:val="24"/>
          <w:szCs w:val="24"/>
          <w:rtl/>
          <w:lang w:eastAsia="ja-JP"/>
        </w:rPr>
        <w:t>? והא א</w:t>
      </w:r>
      <w:r w:rsidRPr="003A2913">
        <w:rPr>
          <w:rFonts w:ascii="Arial" w:eastAsia="Arial Unicode MS" w:hAnsi="Arial" w:hint="cs"/>
          <w:b w:val="0"/>
          <w:bCs w:val="0"/>
          <w:snapToGrid w:val="0"/>
          <w:sz w:val="24"/>
          <w:szCs w:val="24"/>
          <w:rtl/>
          <w:lang w:eastAsia="ja-JP"/>
        </w:rPr>
        <w:t>מר רבי</w:t>
      </w:r>
      <w:r w:rsidRPr="003A2913">
        <w:rPr>
          <w:rFonts w:ascii="Arial" w:eastAsia="Arial Unicode MS" w:hAnsi="Arial"/>
          <w:b w:val="0"/>
          <w:bCs w:val="0"/>
          <w:snapToGrid w:val="0"/>
          <w:sz w:val="24"/>
          <w:szCs w:val="24"/>
          <w:rtl/>
          <w:lang w:eastAsia="ja-JP"/>
        </w:rPr>
        <w:t xml:space="preserve"> יוחנן משום ר</w:t>
      </w:r>
      <w:r w:rsidRPr="003A2913">
        <w:rPr>
          <w:rFonts w:ascii="Arial" w:eastAsia="Arial Unicode MS" w:hAnsi="Arial" w:hint="cs"/>
          <w:b w:val="0"/>
          <w:bCs w:val="0"/>
          <w:snapToGrid w:val="0"/>
          <w:sz w:val="24"/>
          <w:szCs w:val="24"/>
          <w:rtl/>
          <w:lang w:eastAsia="ja-JP"/>
        </w:rPr>
        <w:t xml:space="preserve">בי שמעון </w:t>
      </w:r>
      <w:r w:rsidRPr="003A2913">
        <w:rPr>
          <w:rFonts w:ascii="Arial" w:eastAsia="Arial Unicode MS" w:hAnsi="Arial"/>
          <w:b w:val="0"/>
          <w:bCs w:val="0"/>
          <w:snapToGrid w:val="0"/>
          <w:sz w:val="24"/>
          <w:szCs w:val="24"/>
          <w:rtl/>
          <w:lang w:eastAsia="ja-JP"/>
        </w:rPr>
        <w:t>בן יהוצדק: מים של רבים אין נאסרין!</w:t>
      </w:r>
      <w:r w:rsidR="00235D23" w:rsidRPr="003A2913">
        <w:rPr>
          <w:rFonts w:ascii="Arial" w:eastAsia="Arial Unicode MS" w:hAnsi="Arial" w:hint="cs"/>
          <w:b w:val="0"/>
          <w:bCs w:val="0"/>
          <w:snapToGrid w:val="0"/>
          <w:sz w:val="24"/>
          <w:szCs w:val="24"/>
          <w:rtl/>
          <w:lang w:eastAsia="ja-JP"/>
        </w:rPr>
        <w:t>" כלומר, האם יכול אדם לגרום בפעולותיו לכך שהמים ייפסלו? והלא לימד ר"ש בן יהוצדק, שאין בכוחו של היחיד לפסול מים השייכים לרבים? ומתרץ התלמוד, ש</w:t>
      </w:r>
      <w:r w:rsidR="00E315C3" w:rsidRPr="003A2913">
        <w:rPr>
          <w:rFonts w:ascii="Arial" w:eastAsia="Arial Unicode MS" w:hAnsi="Arial" w:hint="cs"/>
          <w:b w:val="0"/>
          <w:bCs w:val="0"/>
          <w:snapToGrid w:val="0"/>
          <w:sz w:val="24"/>
          <w:szCs w:val="24"/>
          <w:rtl/>
          <w:lang w:eastAsia="ja-JP"/>
        </w:rPr>
        <w:t>שאלת רבה עסקה במי מעיין "</w:t>
      </w:r>
      <w:r w:rsidRPr="003A2913">
        <w:rPr>
          <w:rFonts w:ascii="Arial" w:eastAsia="Arial Unicode MS" w:hAnsi="Arial"/>
          <w:b w:val="0"/>
          <w:bCs w:val="0"/>
          <w:snapToGrid w:val="0"/>
          <w:sz w:val="24"/>
          <w:szCs w:val="24"/>
          <w:rtl/>
          <w:lang w:eastAsia="ja-JP"/>
        </w:rPr>
        <w:t>דקא נבעי מארעא</w:t>
      </w:r>
      <w:r w:rsidR="00E315C3" w:rsidRPr="003A2913">
        <w:rPr>
          <w:rFonts w:ascii="Arial" w:eastAsia="Arial Unicode MS" w:hAnsi="Arial" w:hint="cs"/>
          <w:b w:val="0"/>
          <w:bCs w:val="0"/>
          <w:snapToGrid w:val="0"/>
          <w:sz w:val="24"/>
          <w:szCs w:val="24"/>
          <w:rtl/>
          <w:lang w:eastAsia="ja-JP"/>
        </w:rPr>
        <w:t>" [=הנובעים ממקרקעיו]</w:t>
      </w:r>
      <w:r w:rsidRPr="003A2913">
        <w:rPr>
          <w:rFonts w:ascii="Arial" w:eastAsia="Arial Unicode MS" w:hAnsi="Arial"/>
          <w:b w:val="0"/>
          <w:bCs w:val="0"/>
          <w:snapToGrid w:val="0"/>
          <w:sz w:val="24"/>
          <w:szCs w:val="24"/>
          <w:rtl/>
          <w:lang w:eastAsia="ja-JP"/>
        </w:rPr>
        <w:t>.</w:t>
      </w:r>
      <w:r w:rsidR="00E315C3" w:rsidRPr="003A2913">
        <w:rPr>
          <w:rFonts w:ascii="Arial" w:eastAsia="Arial Unicode MS" w:hAnsi="Arial" w:hint="cs"/>
          <w:b w:val="0"/>
          <w:bCs w:val="0"/>
          <w:snapToGrid w:val="0"/>
          <w:sz w:val="24"/>
          <w:szCs w:val="24"/>
          <w:rtl/>
          <w:lang w:eastAsia="ja-JP"/>
        </w:rPr>
        <w:t xml:space="preserve"> </w:t>
      </w:r>
    </w:p>
    <w:p w:rsidR="00610EEA" w:rsidRPr="003A2913" w:rsidRDefault="00E315C3" w:rsidP="00E315C3">
      <w:pPr>
        <w:pStyle w:val="1"/>
        <w:numPr>
          <w:ilvl w:val="0"/>
          <w:numId w:val="0"/>
        </w:numPr>
        <w:spacing w:before="120"/>
        <w:ind w:right="0"/>
        <w:rPr>
          <w:rFonts w:ascii="Arial" w:eastAsia="Arial Unicode MS" w:hAnsi="Arial"/>
          <w:b w:val="0"/>
          <w:bCs w:val="0"/>
          <w:snapToGrid w:val="0"/>
          <w:sz w:val="24"/>
          <w:szCs w:val="24"/>
          <w:rtl/>
          <w:lang w:eastAsia="ja-JP"/>
        </w:rPr>
      </w:pPr>
      <w:r w:rsidRPr="003A2913">
        <w:rPr>
          <w:rFonts w:ascii="Arial" w:eastAsia="Arial Unicode MS" w:hAnsi="Arial" w:hint="cs"/>
          <w:b w:val="0"/>
          <w:bCs w:val="0"/>
          <w:snapToGrid w:val="0"/>
          <w:sz w:val="24"/>
          <w:szCs w:val="24"/>
          <w:rtl/>
          <w:lang w:eastAsia="ja-JP"/>
        </w:rPr>
        <w:t xml:space="preserve">לכאורה, תשובה זו מלמדת שמי מעיין היוצאים מן החלקה הפרטית הם רכושו הפרטי של בעל החלקה, ולא 'משאב ציבורי', כעולה לכאורה מן הסוגיה העוסקת בזכותו של בעל החלקה לדרוש תשלום עבור השימוש במים היוצאים מחלקתו. </w:t>
      </w:r>
      <w:r w:rsidR="00610EEA" w:rsidRPr="003A2913">
        <w:rPr>
          <w:rFonts w:ascii="Arial" w:eastAsia="Arial Unicode MS" w:hAnsi="Arial"/>
          <w:b w:val="0"/>
          <w:bCs w:val="0"/>
          <w:snapToGrid w:val="0"/>
          <w:sz w:val="24"/>
          <w:szCs w:val="24"/>
          <w:rtl/>
          <w:lang w:eastAsia="ja-JP"/>
        </w:rPr>
        <w:t xml:space="preserve"> </w:t>
      </w:r>
    </w:p>
    <w:p w:rsidR="004A60D7" w:rsidRPr="003A2913" w:rsidRDefault="00E315C3" w:rsidP="00E84953">
      <w:pPr>
        <w:pStyle w:val="1"/>
        <w:numPr>
          <w:ilvl w:val="0"/>
          <w:numId w:val="0"/>
        </w:numPr>
        <w:spacing w:before="120"/>
        <w:ind w:right="0"/>
        <w:rPr>
          <w:rFonts w:ascii="Arial" w:eastAsia="Arial Unicode MS" w:hAnsi="Arial"/>
          <w:b w:val="0"/>
          <w:bCs w:val="0"/>
          <w:snapToGrid w:val="0"/>
          <w:sz w:val="24"/>
          <w:szCs w:val="24"/>
          <w:rtl/>
          <w:lang w:eastAsia="ja-JP"/>
        </w:rPr>
      </w:pPr>
      <w:r w:rsidRPr="003A2913">
        <w:rPr>
          <w:rFonts w:ascii="Arial" w:eastAsia="Arial Unicode MS" w:hAnsi="Arial" w:hint="cs"/>
          <w:b w:val="0"/>
          <w:bCs w:val="0"/>
          <w:snapToGrid w:val="0"/>
          <w:sz w:val="24"/>
          <w:szCs w:val="24"/>
          <w:rtl/>
          <w:lang w:eastAsia="ja-JP"/>
        </w:rPr>
        <w:t xml:space="preserve">כדי </w:t>
      </w:r>
      <w:r w:rsidR="00E84953" w:rsidRPr="003A2913">
        <w:rPr>
          <w:rFonts w:ascii="Arial" w:eastAsia="Arial Unicode MS" w:hAnsi="Arial" w:hint="cs"/>
          <w:b w:val="0"/>
          <w:bCs w:val="0"/>
          <w:snapToGrid w:val="0"/>
          <w:sz w:val="24"/>
          <w:szCs w:val="24"/>
          <w:rtl/>
          <w:lang w:eastAsia="ja-JP"/>
        </w:rPr>
        <w:t>ליישב בין המקורות מציעים בעלי התוספות</w:t>
      </w:r>
      <w:r w:rsidR="00E84953" w:rsidRPr="003A2913">
        <w:rPr>
          <w:rStyle w:val="a5"/>
          <w:rFonts w:ascii="Arial" w:eastAsia="Arial Unicode MS" w:hAnsi="Arial"/>
          <w:b w:val="0"/>
          <w:bCs w:val="0"/>
          <w:snapToGrid w:val="0"/>
          <w:sz w:val="24"/>
          <w:szCs w:val="24"/>
          <w:rtl/>
          <w:lang w:eastAsia="ja-JP"/>
        </w:rPr>
        <w:footnoteReference w:id="7"/>
      </w:r>
      <w:r w:rsidR="00E84953" w:rsidRPr="003A2913">
        <w:rPr>
          <w:rFonts w:ascii="Arial" w:eastAsia="Arial Unicode MS" w:hAnsi="Arial" w:hint="cs"/>
          <w:b w:val="0"/>
          <w:bCs w:val="0"/>
          <w:snapToGrid w:val="0"/>
          <w:sz w:val="24"/>
          <w:szCs w:val="24"/>
          <w:rtl/>
          <w:lang w:eastAsia="ja-JP"/>
        </w:rPr>
        <w:t xml:space="preserve"> להבחין בין מים שלשם הפקתם השקיע בעל החלקה מאמץ ומשאבים, למים שלשם הפקתם והפצתם לא עשה בעל החלקה דבר. </w:t>
      </w:r>
      <w:r w:rsidR="004A60D7" w:rsidRPr="003A2913">
        <w:rPr>
          <w:rFonts w:ascii="Arial" w:eastAsia="Arial Unicode MS" w:hAnsi="Arial" w:hint="cs"/>
          <w:b w:val="0"/>
          <w:bCs w:val="0"/>
          <w:snapToGrid w:val="0"/>
          <w:sz w:val="24"/>
          <w:szCs w:val="24"/>
          <w:rtl/>
          <w:lang w:eastAsia="ja-JP"/>
        </w:rPr>
        <w:t>לדבריהם, תקנת יהושע עסקה רק במעיין ש"יוצא מאליו", שרק הוא "של רבים", בעוד שמעיין ש"טרח בו וחפרו" שייך למי שהשקיע מאמץ ומשאבים בהפקת המים, והוא זכאי לדרוש תשלום עבור השימוש בו.</w:t>
      </w:r>
    </w:p>
    <w:p w:rsidR="00841981" w:rsidRPr="003A2913" w:rsidRDefault="00E84953" w:rsidP="003A2913">
      <w:pPr>
        <w:pStyle w:val="1"/>
        <w:numPr>
          <w:ilvl w:val="0"/>
          <w:numId w:val="0"/>
        </w:numPr>
        <w:spacing w:before="120"/>
        <w:ind w:right="0"/>
        <w:rPr>
          <w:rFonts w:ascii="Arial" w:eastAsia="Arial Unicode MS" w:hAnsi="Arial"/>
          <w:b w:val="0"/>
          <w:bCs w:val="0"/>
          <w:snapToGrid w:val="0"/>
          <w:sz w:val="24"/>
          <w:szCs w:val="24"/>
          <w:rtl/>
          <w:lang w:eastAsia="ja-JP"/>
        </w:rPr>
      </w:pPr>
      <w:r w:rsidRPr="003A2913">
        <w:rPr>
          <w:rFonts w:ascii="Arial" w:eastAsia="Arial Unicode MS" w:hAnsi="Arial" w:hint="cs"/>
          <w:b w:val="0"/>
          <w:bCs w:val="0"/>
          <w:snapToGrid w:val="0"/>
          <w:sz w:val="24"/>
          <w:szCs w:val="24"/>
          <w:rtl/>
          <w:lang w:eastAsia="ja-JP"/>
        </w:rPr>
        <w:t xml:space="preserve">הבחנה זו מסייגת את תפיסת המים כ'משאב ציבורי' באופן </w:t>
      </w:r>
      <w:r w:rsidR="003A2913" w:rsidRPr="003A2913">
        <w:rPr>
          <w:rFonts w:ascii="Arial" w:eastAsia="Arial Unicode MS" w:hAnsi="Arial" w:hint="cs"/>
          <w:b w:val="0"/>
          <w:bCs w:val="0"/>
          <w:snapToGrid w:val="0"/>
          <w:sz w:val="24"/>
          <w:szCs w:val="24"/>
          <w:rtl/>
          <w:lang w:eastAsia="ja-JP"/>
        </w:rPr>
        <w:t xml:space="preserve">משמעותי, ולפיה, </w:t>
      </w:r>
      <w:r w:rsidR="00806C98" w:rsidRPr="003A2913">
        <w:rPr>
          <w:rFonts w:ascii="Arial" w:eastAsia="Arial Unicode MS" w:hAnsi="Arial" w:hint="cs"/>
          <w:b w:val="0"/>
          <w:bCs w:val="0"/>
          <w:snapToGrid w:val="0"/>
          <w:sz w:val="24"/>
          <w:szCs w:val="24"/>
          <w:rtl/>
          <w:lang w:eastAsia="ja-JP"/>
        </w:rPr>
        <w:t>במידה ואדם או רשות ציבורית השקיעו מאמץ ומשאבים כדי להבטיח את זמינותו של המשאב לציבור, הם זכאים לדרוש תשלום עבור השימוש במשאב זה, ואף לשלול ממי שאינו משלם עבור השימוש במשאב את הזכות להשתמש בו.</w:t>
      </w:r>
      <w:r w:rsidR="003A2913">
        <w:rPr>
          <w:rStyle w:val="a5"/>
          <w:rFonts w:ascii="Arial" w:eastAsia="Arial Unicode MS" w:hAnsi="Arial"/>
          <w:b w:val="0"/>
          <w:bCs w:val="0"/>
          <w:snapToGrid w:val="0"/>
          <w:sz w:val="24"/>
          <w:szCs w:val="24"/>
          <w:rtl/>
          <w:lang w:eastAsia="ja-JP"/>
        </w:rPr>
        <w:footnoteReference w:id="8"/>
      </w:r>
    </w:p>
    <w:p w:rsidR="00806C98" w:rsidRDefault="003647C6" w:rsidP="00841981">
      <w:pPr>
        <w:pStyle w:val="1"/>
        <w:numPr>
          <w:ilvl w:val="0"/>
          <w:numId w:val="0"/>
        </w:numPr>
        <w:spacing w:before="120"/>
        <w:ind w:right="0"/>
        <w:rPr>
          <w:rFonts w:ascii="Arial" w:eastAsia="Arial Unicode MS" w:hAnsi="Arial"/>
          <w:b w:val="0"/>
          <w:bCs w:val="0"/>
          <w:snapToGrid w:val="0"/>
          <w:sz w:val="24"/>
          <w:szCs w:val="24"/>
          <w:rtl/>
          <w:lang w:eastAsia="ja-JP"/>
        </w:rPr>
      </w:pPr>
      <w:r w:rsidRPr="00C92958">
        <w:rPr>
          <w:rFonts w:ascii="Arial" w:eastAsia="Arial Unicode MS" w:hAnsi="Arial" w:hint="cs"/>
          <w:b w:val="0"/>
          <w:bCs w:val="0"/>
          <w:snapToGrid w:val="0"/>
          <w:spacing w:val="-2"/>
          <w:sz w:val="24"/>
          <w:szCs w:val="24"/>
          <w:rtl/>
          <w:lang w:eastAsia="ja-JP"/>
        </w:rPr>
        <w:t>לעומתם, הרשב"א</w:t>
      </w:r>
      <w:r w:rsidR="0036102D" w:rsidRPr="00C92958">
        <w:rPr>
          <w:rStyle w:val="a5"/>
          <w:rFonts w:ascii="Arial" w:eastAsia="Arial Unicode MS" w:hAnsi="Arial"/>
          <w:b w:val="0"/>
          <w:bCs w:val="0"/>
          <w:snapToGrid w:val="0"/>
          <w:spacing w:val="-2"/>
          <w:sz w:val="24"/>
          <w:szCs w:val="24"/>
          <w:rtl/>
          <w:lang w:eastAsia="ja-JP"/>
        </w:rPr>
        <w:footnoteReference w:id="9"/>
      </w:r>
      <w:r w:rsidRPr="00C92958">
        <w:rPr>
          <w:rFonts w:ascii="Arial" w:eastAsia="Arial Unicode MS" w:hAnsi="Arial" w:hint="cs"/>
          <w:b w:val="0"/>
          <w:bCs w:val="0"/>
          <w:snapToGrid w:val="0"/>
          <w:spacing w:val="-2"/>
          <w:sz w:val="24"/>
          <w:szCs w:val="24"/>
          <w:rtl/>
          <w:lang w:eastAsia="ja-JP"/>
        </w:rPr>
        <w:t xml:space="preserve"> מציע הבחנה אחרת. לדבריו, הסוגיה המלמדת שהמים הם 'משאב ציבורי' עוסקת במעיין היוצא מחלקתו של אדם, אך מקור הנביעה אינו בחלקה זו. בנסיבות אלו, בעל החלקה אינו יכול לטעון לבעלות על המים, משום שהבעלות נקבעת לפי מקור הנביעה. לעומת זאת, הסוגיה שממנה עולה שהמים שייכים לבעל החלקה שממנה הם יוצאים, עוסקת במי מעיין שמקור נביעתם בחלקה הפרטית. מים אלו, טוען הרשב"א, שייכים לבעל החלקה שממנה הם נובעים</w:t>
      </w:r>
      <w:r>
        <w:rPr>
          <w:rFonts w:ascii="Arial" w:eastAsia="Arial Unicode MS" w:hAnsi="Arial" w:hint="cs"/>
          <w:b w:val="0"/>
          <w:bCs w:val="0"/>
          <w:snapToGrid w:val="0"/>
          <w:sz w:val="24"/>
          <w:szCs w:val="24"/>
          <w:rtl/>
          <w:lang w:eastAsia="ja-JP"/>
        </w:rPr>
        <w:t xml:space="preserve">. </w:t>
      </w:r>
    </w:p>
    <w:p w:rsidR="003647C6" w:rsidRDefault="0036102D" w:rsidP="00C9295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גם הסבר זה מסייג את תפיסת המים כ'משאב ציבורי', משום שהוא קובע שתפיסה זו אינה תקפה אלא למים שמקור נביעתם אינו מצוי במקרקעין הפרטיים. אולם, בניגוד לבעלי התוספות, </w:t>
      </w:r>
      <w:r>
        <w:rPr>
          <w:rFonts w:ascii="Arial" w:eastAsia="Arial Unicode MS" w:hAnsi="Arial" w:hint="cs"/>
          <w:b w:val="0"/>
          <w:bCs w:val="0"/>
          <w:snapToGrid w:val="0"/>
          <w:sz w:val="24"/>
          <w:szCs w:val="24"/>
          <w:rtl/>
          <w:lang w:eastAsia="ja-JP"/>
        </w:rPr>
        <w:lastRenderedPageBreak/>
        <w:t>הרשב"א איננו סבור שהשקעת משאבים בהפקה או הפצה של המים תזכה את בעל החלקה בתשלום, אם מקור הנביעה שלך המים אינו מצוי בחלקתו.</w:t>
      </w:r>
    </w:p>
    <w:p w:rsidR="005D2678" w:rsidRPr="003A2913" w:rsidRDefault="005D2678" w:rsidP="00C92958">
      <w:pPr>
        <w:pStyle w:val="1"/>
        <w:numPr>
          <w:ilvl w:val="0"/>
          <w:numId w:val="0"/>
        </w:numPr>
        <w:spacing w:before="120"/>
        <w:ind w:right="0"/>
        <w:rPr>
          <w:rFonts w:ascii="Arial" w:eastAsia="Arial Unicode MS" w:hAnsi="Arial"/>
          <w:b w:val="0"/>
          <w:bCs w:val="0"/>
          <w:snapToGrid w:val="0"/>
          <w:sz w:val="24"/>
          <w:szCs w:val="24"/>
          <w:rtl/>
          <w:lang w:eastAsia="ja-JP"/>
        </w:rPr>
      </w:pPr>
    </w:p>
    <w:p w:rsidR="004A60D7" w:rsidRPr="005D2678" w:rsidRDefault="0012225B" w:rsidP="005D2678">
      <w:pPr>
        <w:pStyle w:val="10"/>
        <w:numPr>
          <w:ilvl w:val="0"/>
          <w:numId w:val="2"/>
        </w:numPr>
        <w:rPr>
          <w:sz w:val="28"/>
          <w:rtl/>
        </w:rPr>
      </w:pPr>
      <w:r w:rsidRPr="005D2678">
        <w:rPr>
          <w:rFonts w:hint="cs"/>
          <w:sz w:val="28"/>
          <w:rtl/>
        </w:rPr>
        <w:t xml:space="preserve">החובה לשלם עבור </w:t>
      </w:r>
      <w:r w:rsidR="004A60D7" w:rsidRPr="005D2678">
        <w:rPr>
          <w:rFonts w:hint="cs"/>
          <w:sz w:val="28"/>
          <w:rtl/>
        </w:rPr>
        <w:t>הוצאות ה</w:t>
      </w:r>
      <w:r w:rsidRPr="005D2678">
        <w:rPr>
          <w:rFonts w:hint="cs"/>
          <w:sz w:val="28"/>
          <w:rtl/>
        </w:rPr>
        <w:t>הפקה וההפצה</w:t>
      </w:r>
    </w:p>
    <w:p w:rsidR="004A60D7" w:rsidRDefault="007B44F4" w:rsidP="007B44F4">
      <w:pPr>
        <w:pStyle w:val="1"/>
        <w:numPr>
          <w:ilvl w:val="0"/>
          <w:numId w:val="0"/>
        </w:numPr>
        <w:spacing w:before="120"/>
        <w:ind w:right="0"/>
        <w:rPr>
          <w:rFonts w:ascii="Arial" w:eastAsia="Arial Unicode MS" w:hAnsi="Arial"/>
          <w:b w:val="0"/>
          <w:bCs w:val="0"/>
          <w:snapToGrid w:val="0"/>
          <w:spacing w:val="-2"/>
          <w:sz w:val="24"/>
          <w:szCs w:val="24"/>
          <w:rtl/>
          <w:lang w:eastAsia="ja-JP"/>
        </w:rPr>
      </w:pPr>
      <w:r>
        <w:rPr>
          <w:rFonts w:ascii="Arial" w:eastAsia="Arial Unicode MS" w:hAnsi="Arial" w:hint="cs"/>
          <w:b w:val="0"/>
          <w:bCs w:val="0"/>
          <w:snapToGrid w:val="0"/>
          <w:spacing w:val="-4"/>
          <w:sz w:val="24"/>
          <w:szCs w:val="24"/>
          <w:rtl/>
          <w:lang w:eastAsia="ja-JP"/>
        </w:rPr>
        <w:t xml:space="preserve">על חובתו של אדם לשלם עבור כיסוי ההוצאות הכרוכות בהפקת המים והפצתם למדנו מן המשנה </w:t>
      </w:r>
      <w:r>
        <w:rPr>
          <w:rFonts w:ascii="Arial" w:eastAsia="Arial Unicode MS" w:hAnsi="Arial"/>
          <w:b w:val="0"/>
          <w:bCs w:val="0"/>
          <w:snapToGrid w:val="0"/>
          <w:spacing w:val="-4"/>
          <w:sz w:val="24"/>
          <w:szCs w:val="24"/>
          <w:rtl/>
          <w:lang w:eastAsia="ja-JP"/>
        </w:rPr>
        <w:t>–</w:t>
      </w:r>
      <w:r>
        <w:rPr>
          <w:rFonts w:ascii="Arial" w:eastAsia="Arial Unicode MS" w:hAnsi="Arial" w:hint="cs"/>
          <w:b w:val="0"/>
          <w:bCs w:val="0"/>
          <w:snapToGrid w:val="0"/>
          <w:spacing w:val="-4"/>
          <w:sz w:val="24"/>
          <w:szCs w:val="24"/>
          <w:rtl/>
          <w:lang w:eastAsia="ja-JP"/>
        </w:rPr>
        <w:t xml:space="preserve"> </w:t>
      </w:r>
      <w:r w:rsidR="004A60D7">
        <w:rPr>
          <w:rFonts w:ascii="Arial" w:eastAsia="Arial Unicode MS" w:hAnsi="Arial" w:hint="cs"/>
          <w:b w:val="0"/>
          <w:bCs w:val="0"/>
          <w:snapToGrid w:val="0"/>
          <w:spacing w:val="-2"/>
          <w:sz w:val="24"/>
          <w:szCs w:val="24"/>
          <w:rtl/>
          <w:lang w:eastAsia="ja-JP"/>
        </w:rPr>
        <w:t xml:space="preserve"> </w:t>
      </w:r>
    </w:p>
    <w:p w:rsidR="004A60D7" w:rsidRDefault="004A60D7" w:rsidP="004A60D7">
      <w:pPr>
        <w:pStyle w:val="1"/>
        <w:numPr>
          <w:ilvl w:val="0"/>
          <w:numId w:val="0"/>
        </w:numPr>
        <w:spacing w:before="120"/>
        <w:ind w:left="567" w:right="567"/>
        <w:rPr>
          <w:rFonts w:ascii="Arial" w:eastAsia="Arial Unicode MS" w:hAnsi="Arial"/>
          <w:b w:val="0"/>
          <w:bCs w:val="0"/>
          <w:snapToGrid w:val="0"/>
          <w:spacing w:val="-2"/>
          <w:sz w:val="24"/>
          <w:szCs w:val="24"/>
          <w:rtl/>
          <w:lang w:eastAsia="ja-JP"/>
        </w:rPr>
      </w:pPr>
      <w:r w:rsidRPr="00A312EF">
        <w:rPr>
          <w:rFonts w:ascii="Arial" w:eastAsia="Arial Unicode MS" w:hAnsi="Arial"/>
          <w:b w:val="0"/>
          <w:bCs w:val="0"/>
          <w:snapToGrid w:val="0"/>
          <w:spacing w:val="-2"/>
          <w:sz w:val="24"/>
          <w:szCs w:val="24"/>
          <w:rtl/>
          <w:lang w:eastAsia="ja-JP"/>
        </w:rPr>
        <w:t>מי שיש לו חצר בעיר אחרת בני העיר משעבדין אותו לחפור עמהם בורות שיחין ומערות ואמת המים</w:t>
      </w:r>
      <w:r>
        <w:rPr>
          <w:rFonts w:ascii="Arial" w:eastAsia="Arial Unicode MS" w:hAnsi="Arial" w:hint="cs"/>
          <w:b w:val="0"/>
          <w:bCs w:val="0"/>
          <w:snapToGrid w:val="0"/>
          <w:spacing w:val="-2"/>
          <w:sz w:val="24"/>
          <w:szCs w:val="24"/>
          <w:rtl/>
          <w:lang w:eastAsia="ja-JP"/>
        </w:rPr>
        <w:t>...</w:t>
      </w:r>
      <w:r>
        <w:rPr>
          <w:rStyle w:val="a5"/>
          <w:rFonts w:ascii="Arial" w:eastAsia="Arial Unicode MS" w:hAnsi="Arial"/>
          <w:b w:val="0"/>
          <w:bCs w:val="0"/>
          <w:snapToGrid w:val="0"/>
          <w:spacing w:val="-2"/>
          <w:sz w:val="24"/>
          <w:szCs w:val="24"/>
          <w:rtl/>
          <w:lang w:eastAsia="ja-JP"/>
        </w:rPr>
        <w:footnoteReference w:id="10"/>
      </w:r>
      <w:r w:rsidRPr="00A312EF">
        <w:rPr>
          <w:rFonts w:ascii="Arial" w:eastAsia="Arial Unicode MS" w:hAnsi="Arial"/>
          <w:b w:val="0"/>
          <w:bCs w:val="0"/>
          <w:snapToGrid w:val="0"/>
          <w:spacing w:val="-2"/>
          <w:sz w:val="24"/>
          <w:szCs w:val="24"/>
          <w:rtl/>
          <w:lang w:eastAsia="ja-JP"/>
        </w:rPr>
        <w:t xml:space="preserve"> </w:t>
      </w:r>
    </w:p>
    <w:p w:rsidR="002934F1" w:rsidRDefault="002934F1" w:rsidP="004A60D7">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לאמור, די בכך שאדם יחזיק במקרקעין בעיר, כדי לחייבו להשתתף עם בני העיר בהוצאות הדרושות לשם יצירתם ואחזקתם של מאגרי המים.</w:t>
      </w:r>
    </w:p>
    <w:p w:rsidR="00170A73" w:rsidRDefault="002934F1" w:rsidP="002934F1">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האם כלל זה תקף גם כלפי אוכלוסיות מוחלשות, שקשה להן לשאת בתשלום זה? תשובה לשאלה זו ניתן ללמוד מן הדין העקרוני בכל הנוגע לחיובי המס הקהילתיים. </w:t>
      </w:r>
    </w:p>
    <w:p w:rsidR="00170A73" w:rsidRDefault="002934F1" w:rsidP="002934F1">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הכלל הוא, ש</w:t>
      </w:r>
      <w:r w:rsidR="00170A73">
        <w:rPr>
          <w:rFonts w:ascii="Arial" w:eastAsia="Arial Unicode MS" w:hAnsi="Arial" w:hint="cs"/>
          <w:b w:val="0"/>
          <w:bCs w:val="0"/>
          <w:snapToGrid w:val="0"/>
          <w:sz w:val="24"/>
          <w:szCs w:val="24"/>
          <w:rtl/>
          <w:lang w:eastAsia="ja-JP"/>
        </w:rPr>
        <w:t>אין מטילים על בני אוכלוסיות מוחלשות חיוב מס לצורך מימונה של הוצאה ציבורית, אלא אם יש להם הנאה ישירה מן ההוצאה האמורה.</w:t>
      </w:r>
    </w:p>
    <w:p w:rsidR="00170A73" w:rsidRDefault="00170A73" w:rsidP="00170A73">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בהתאם לכך, </w:t>
      </w:r>
      <w:r w:rsidR="004A60D7" w:rsidRPr="004D582F">
        <w:rPr>
          <w:rFonts w:ascii="Arial" w:eastAsia="Arial Unicode MS" w:hAnsi="Arial" w:hint="cs"/>
          <w:b w:val="0"/>
          <w:bCs w:val="0"/>
          <w:snapToGrid w:val="0"/>
          <w:sz w:val="24"/>
          <w:szCs w:val="24"/>
          <w:rtl/>
          <w:lang w:eastAsia="ja-JP"/>
        </w:rPr>
        <w:t>אין מטילים על יתומים קטנים להשתתף בהוצאות הציבוריות מכספי העיזבון, אלא אם יש להם הנאה ישירה מן ההוצאה הציבורית</w:t>
      </w:r>
      <w:r>
        <w:rPr>
          <w:rFonts w:ascii="Arial" w:eastAsia="Arial Unicode MS" w:hAnsi="Arial" w:hint="cs"/>
          <w:b w:val="0"/>
          <w:bCs w:val="0"/>
          <w:snapToGrid w:val="0"/>
          <w:sz w:val="24"/>
          <w:szCs w:val="24"/>
          <w:rtl/>
          <w:lang w:eastAsia="ja-JP"/>
        </w:rPr>
        <w:t>,</w:t>
      </w:r>
      <w:r w:rsidR="004A60D7">
        <w:rPr>
          <w:rStyle w:val="a5"/>
          <w:rFonts w:ascii="Arial" w:eastAsia="Arial Unicode MS" w:hAnsi="Arial"/>
          <w:b w:val="0"/>
          <w:bCs w:val="0"/>
          <w:snapToGrid w:val="0"/>
          <w:sz w:val="24"/>
          <w:szCs w:val="24"/>
          <w:rtl/>
          <w:lang w:eastAsia="ja-JP"/>
        </w:rPr>
        <w:footnoteReference w:id="11"/>
      </w:r>
      <w:r w:rsidR="004A60D7" w:rsidRPr="004D582F">
        <w:rPr>
          <w:rFonts w:ascii="Arial" w:eastAsia="Arial Unicode MS" w:hAnsi="Arial" w:hint="cs"/>
          <w:b w:val="0"/>
          <w:bCs w:val="0"/>
          <w:snapToGrid w:val="0"/>
          <w:sz w:val="24"/>
          <w:szCs w:val="24"/>
          <w:rtl/>
          <w:lang w:eastAsia="ja-JP"/>
        </w:rPr>
        <w:t xml:space="preserve"> </w:t>
      </w:r>
      <w:r>
        <w:rPr>
          <w:rFonts w:ascii="Arial" w:eastAsia="Arial Unicode MS" w:hAnsi="Arial" w:hint="cs"/>
          <w:b w:val="0"/>
          <w:bCs w:val="0"/>
          <w:snapToGrid w:val="0"/>
          <w:sz w:val="24"/>
          <w:szCs w:val="24"/>
          <w:rtl/>
          <w:lang w:eastAsia="ja-JP"/>
        </w:rPr>
        <w:t xml:space="preserve">ובשל כך </w:t>
      </w:r>
      <w:r w:rsidR="004A60D7" w:rsidRPr="004D582F">
        <w:rPr>
          <w:rFonts w:ascii="Arial" w:eastAsia="Arial Unicode MS" w:hAnsi="Arial" w:hint="cs"/>
          <w:b w:val="0"/>
          <w:bCs w:val="0"/>
          <w:snapToGrid w:val="0"/>
          <w:sz w:val="24"/>
          <w:szCs w:val="24"/>
          <w:rtl/>
          <w:lang w:eastAsia="ja-JP"/>
        </w:rPr>
        <w:t>אין מטילים על יתומים להשתתף בהוצאות בניית מבני ציבור ובתי כנסת</w:t>
      </w:r>
      <w:r>
        <w:rPr>
          <w:rFonts w:ascii="Arial" w:eastAsia="Arial Unicode MS" w:hAnsi="Arial" w:hint="cs"/>
          <w:b w:val="0"/>
          <w:bCs w:val="0"/>
          <w:snapToGrid w:val="0"/>
          <w:sz w:val="24"/>
          <w:szCs w:val="24"/>
          <w:rtl/>
          <w:lang w:eastAsia="ja-JP"/>
        </w:rPr>
        <w:t>.</w:t>
      </w:r>
      <w:r w:rsidR="004A60D7">
        <w:rPr>
          <w:rStyle w:val="a5"/>
          <w:rFonts w:ascii="Arial" w:eastAsia="Arial Unicode MS" w:hAnsi="Arial"/>
          <w:b w:val="0"/>
          <w:bCs w:val="0"/>
          <w:snapToGrid w:val="0"/>
          <w:sz w:val="24"/>
          <w:szCs w:val="24"/>
          <w:rtl/>
          <w:lang w:eastAsia="ja-JP"/>
        </w:rPr>
        <w:footnoteReference w:id="12"/>
      </w:r>
      <w:r w:rsidR="004A60D7" w:rsidRPr="004D582F">
        <w:rPr>
          <w:rFonts w:ascii="Arial" w:eastAsia="Arial Unicode MS" w:hAnsi="Arial" w:hint="cs"/>
          <w:b w:val="0"/>
          <w:bCs w:val="0"/>
          <w:snapToGrid w:val="0"/>
          <w:sz w:val="24"/>
          <w:szCs w:val="24"/>
          <w:rtl/>
          <w:lang w:eastAsia="ja-JP"/>
        </w:rPr>
        <w:t xml:space="preserve"> </w:t>
      </w:r>
    </w:p>
    <w:p w:rsidR="00170A73" w:rsidRDefault="00170A73" w:rsidP="009C600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באופן דומה, </w:t>
      </w:r>
      <w:r>
        <w:rPr>
          <w:rFonts w:ascii="Arial" w:eastAsia="Arial Unicode MS" w:hAnsi="Arial" w:hint="cs"/>
          <w:b w:val="0"/>
          <w:bCs w:val="0"/>
          <w:snapToGrid w:val="0"/>
          <w:spacing w:val="-2"/>
          <w:sz w:val="24"/>
          <w:szCs w:val="24"/>
          <w:rtl/>
          <w:lang w:eastAsia="ja-JP"/>
        </w:rPr>
        <w:t>מאחר שתלמידי החכמים היו עניים על פי רוב משום שכל זמנם הוקדש ללימוד התורה, נהג</w:t>
      </w:r>
      <w:r w:rsidR="009C6008">
        <w:rPr>
          <w:rFonts w:ascii="Arial" w:eastAsia="Arial Unicode MS" w:hAnsi="Arial" w:hint="cs"/>
          <w:b w:val="0"/>
          <w:bCs w:val="0"/>
          <w:snapToGrid w:val="0"/>
          <w:spacing w:val="-2"/>
          <w:sz w:val="24"/>
          <w:szCs w:val="24"/>
          <w:rtl/>
          <w:lang w:eastAsia="ja-JP"/>
        </w:rPr>
        <w:t>ו</w:t>
      </w:r>
      <w:r>
        <w:rPr>
          <w:rFonts w:ascii="Arial" w:eastAsia="Arial Unicode MS" w:hAnsi="Arial" w:hint="cs"/>
          <w:b w:val="0"/>
          <w:bCs w:val="0"/>
          <w:snapToGrid w:val="0"/>
          <w:spacing w:val="-2"/>
          <w:sz w:val="24"/>
          <w:szCs w:val="24"/>
          <w:rtl/>
          <w:lang w:eastAsia="ja-JP"/>
        </w:rPr>
        <w:t xml:space="preserve"> לפטור </w:t>
      </w:r>
      <w:r w:rsidR="009C6008">
        <w:rPr>
          <w:rFonts w:ascii="Arial" w:eastAsia="Arial Unicode MS" w:hAnsi="Arial" w:hint="cs"/>
          <w:b w:val="0"/>
          <w:bCs w:val="0"/>
          <w:snapToGrid w:val="0"/>
          <w:spacing w:val="-2"/>
          <w:sz w:val="24"/>
          <w:szCs w:val="24"/>
          <w:rtl/>
          <w:lang w:eastAsia="ja-JP"/>
        </w:rPr>
        <w:t xml:space="preserve">אותם </w:t>
      </w:r>
      <w:r>
        <w:rPr>
          <w:rFonts w:ascii="Arial" w:eastAsia="Arial Unicode MS" w:hAnsi="Arial" w:hint="cs"/>
          <w:b w:val="0"/>
          <w:bCs w:val="0"/>
          <w:snapToGrid w:val="0"/>
          <w:spacing w:val="-2"/>
          <w:sz w:val="24"/>
          <w:szCs w:val="24"/>
          <w:rtl/>
          <w:lang w:eastAsia="ja-JP"/>
        </w:rPr>
        <w:t>מהשתתפות בחלק מן ההוצאות הציבוריות.</w:t>
      </w:r>
      <w:r>
        <w:rPr>
          <w:rStyle w:val="a5"/>
          <w:rFonts w:ascii="Arial" w:eastAsia="Arial Unicode MS" w:hAnsi="Arial"/>
          <w:b w:val="0"/>
          <w:bCs w:val="0"/>
          <w:snapToGrid w:val="0"/>
          <w:spacing w:val="-2"/>
          <w:sz w:val="24"/>
          <w:szCs w:val="24"/>
          <w:rtl/>
          <w:lang w:eastAsia="ja-JP"/>
        </w:rPr>
        <w:footnoteReference w:id="13"/>
      </w:r>
    </w:p>
    <w:p w:rsidR="004A60D7" w:rsidRDefault="009C6008" w:rsidP="009C6008">
      <w:pPr>
        <w:pStyle w:val="1"/>
        <w:numPr>
          <w:ilvl w:val="0"/>
          <w:numId w:val="0"/>
        </w:numPr>
        <w:spacing w:before="120"/>
        <w:ind w:right="0"/>
        <w:rPr>
          <w:rFonts w:ascii="Arial" w:eastAsia="Arial Unicode MS" w:hAnsi="Arial"/>
          <w:b w:val="0"/>
          <w:bCs w:val="0"/>
          <w:snapToGrid w:val="0"/>
          <w:spacing w:val="-2"/>
          <w:sz w:val="24"/>
          <w:szCs w:val="24"/>
          <w:rtl/>
          <w:lang w:eastAsia="ja-JP"/>
        </w:rPr>
      </w:pPr>
      <w:r>
        <w:rPr>
          <w:rFonts w:ascii="Arial" w:eastAsia="Arial Unicode MS" w:hAnsi="Arial" w:hint="cs"/>
          <w:b w:val="0"/>
          <w:bCs w:val="0"/>
          <w:snapToGrid w:val="0"/>
          <w:sz w:val="24"/>
          <w:szCs w:val="24"/>
          <w:rtl/>
          <w:lang w:eastAsia="ja-JP"/>
        </w:rPr>
        <w:t xml:space="preserve">אף על פי כן, נפסק שמחייבים את היתומים </w:t>
      </w:r>
      <w:r w:rsidR="004A60D7" w:rsidRPr="004D582F">
        <w:rPr>
          <w:rFonts w:ascii="Arial" w:eastAsia="Arial Unicode MS" w:hAnsi="Arial" w:hint="cs"/>
          <w:b w:val="0"/>
          <w:bCs w:val="0"/>
          <w:snapToGrid w:val="0"/>
          <w:sz w:val="24"/>
          <w:szCs w:val="24"/>
          <w:rtl/>
          <w:lang w:eastAsia="ja-JP"/>
        </w:rPr>
        <w:t>להשתתף ב</w:t>
      </w:r>
      <w:r>
        <w:rPr>
          <w:rFonts w:ascii="Arial" w:eastAsia="Arial Unicode MS" w:hAnsi="Arial" w:hint="cs"/>
          <w:b w:val="0"/>
          <w:bCs w:val="0"/>
          <w:snapToGrid w:val="0"/>
          <w:sz w:val="24"/>
          <w:szCs w:val="24"/>
          <w:rtl/>
          <w:lang w:eastAsia="ja-JP"/>
        </w:rPr>
        <w:t xml:space="preserve">מימון </w:t>
      </w:r>
      <w:r w:rsidR="004A60D7" w:rsidRPr="004D582F">
        <w:rPr>
          <w:rFonts w:ascii="Arial" w:eastAsia="Arial Unicode MS" w:hAnsi="Arial" w:hint="cs"/>
          <w:b w:val="0"/>
          <w:bCs w:val="0"/>
          <w:snapToGrid w:val="0"/>
          <w:sz w:val="24"/>
          <w:szCs w:val="24"/>
          <w:rtl/>
          <w:lang w:eastAsia="ja-JP"/>
        </w:rPr>
        <w:t>הוצאות אספקת המים, משום ש"זו זכות הוא להם</w:t>
      </w:r>
      <w:r w:rsidR="004A60D7">
        <w:rPr>
          <w:rFonts w:ascii="Arial" w:eastAsia="Arial Unicode MS" w:hAnsi="Arial" w:hint="cs"/>
          <w:b w:val="0"/>
          <w:bCs w:val="0"/>
          <w:snapToGrid w:val="0"/>
          <w:spacing w:val="-2"/>
          <w:sz w:val="24"/>
          <w:szCs w:val="24"/>
          <w:rtl/>
          <w:lang w:eastAsia="ja-JP"/>
        </w:rPr>
        <w:t>"</w:t>
      </w:r>
      <w:r>
        <w:rPr>
          <w:rFonts w:ascii="Arial" w:eastAsia="Arial Unicode MS" w:hAnsi="Arial" w:hint="cs"/>
          <w:b w:val="0"/>
          <w:bCs w:val="0"/>
          <w:snapToGrid w:val="0"/>
          <w:spacing w:val="-2"/>
          <w:sz w:val="24"/>
          <w:szCs w:val="24"/>
          <w:rtl/>
          <w:lang w:eastAsia="ja-JP"/>
        </w:rPr>
        <w:t>,</w:t>
      </w:r>
      <w:r w:rsidR="004A60D7">
        <w:rPr>
          <w:rStyle w:val="a5"/>
          <w:rFonts w:ascii="Arial" w:eastAsia="Arial Unicode MS" w:hAnsi="Arial"/>
          <w:b w:val="0"/>
          <w:bCs w:val="0"/>
          <w:snapToGrid w:val="0"/>
          <w:spacing w:val="-2"/>
          <w:sz w:val="24"/>
          <w:szCs w:val="24"/>
          <w:rtl/>
          <w:lang w:eastAsia="ja-JP"/>
        </w:rPr>
        <w:footnoteReference w:id="14"/>
      </w:r>
      <w:r w:rsidR="004A60D7">
        <w:rPr>
          <w:rFonts w:ascii="Arial" w:eastAsia="Arial Unicode MS" w:hAnsi="Arial" w:hint="cs"/>
          <w:b w:val="0"/>
          <w:bCs w:val="0"/>
          <w:snapToGrid w:val="0"/>
          <w:spacing w:val="-2"/>
          <w:sz w:val="24"/>
          <w:szCs w:val="24"/>
          <w:rtl/>
          <w:lang w:eastAsia="ja-JP"/>
        </w:rPr>
        <w:t xml:space="preserve"> </w:t>
      </w:r>
      <w:r>
        <w:rPr>
          <w:rFonts w:ascii="Arial" w:eastAsia="Arial Unicode MS" w:hAnsi="Arial" w:hint="cs"/>
          <w:b w:val="0"/>
          <w:bCs w:val="0"/>
          <w:snapToGrid w:val="0"/>
          <w:spacing w:val="-2"/>
          <w:sz w:val="24"/>
          <w:szCs w:val="24"/>
          <w:rtl/>
          <w:lang w:eastAsia="ja-JP"/>
        </w:rPr>
        <w:t xml:space="preserve">וגובים מס לשם </w:t>
      </w:r>
      <w:r w:rsidR="004A60D7">
        <w:rPr>
          <w:rFonts w:ascii="Arial" w:eastAsia="Arial Unicode MS" w:hAnsi="Arial" w:hint="cs"/>
          <w:b w:val="0"/>
          <w:bCs w:val="0"/>
          <w:snapToGrid w:val="0"/>
          <w:spacing w:val="-2"/>
          <w:sz w:val="24"/>
          <w:szCs w:val="24"/>
          <w:rtl/>
          <w:lang w:eastAsia="ja-JP"/>
        </w:rPr>
        <w:t>כרייתה של באר לשתייה גם מתלמידי החכמים,</w:t>
      </w:r>
      <w:r w:rsidR="004A60D7">
        <w:rPr>
          <w:rStyle w:val="a5"/>
          <w:rFonts w:ascii="Arial" w:eastAsia="Arial Unicode MS" w:hAnsi="Arial"/>
          <w:b w:val="0"/>
          <w:bCs w:val="0"/>
          <w:snapToGrid w:val="0"/>
          <w:spacing w:val="-2"/>
          <w:sz w:val="24"/>
          <w:szCs w:val="24"/>
          <w:rtl/>
          <w:lang w:eastAsia="ja-JP"/>
        </w:rPr>
        <w:footnoteReference w:id="15"/>
      </w:r>
      <w:r w:rsidR="004A60D7">
        <w:rPr>
          <w:rFonts w:ascii="Arial" w:eastAsia="Arial Unicode MS" w:hAnsi="Arial" w:hint="cs"/>
          <w:b w:val="0"/>
          <w:bCs w:val="0"/>
          <w:snapToGrid w:val="0"/>
          <w:spacing w:val="-2"/>
          <w:sz w:val="24"/>
          <w:szCs w:val="24"/>
          <w:rtl/>
          <w:lang w:eastAsia="ja-JP"/>
        </w:rPr>
        <w:t xml:space="preserve"> משום "שהכל צריכין למים".</w:t>
      </w:r>
      <w:r w:rsidR="004A60D7">
        <w:rPr>
          <w:rStyle w:val="a5"/>
          <w:rFonts w:ascii="Arial" w:eastAsia="Arial Unicode MS" w:hAnsi="Arial"/>
          <w:b w:val="0"/>
          <w:bCs w:val="0"/>
          <w:snapToGrid w:val="0"/>
          <w:spacing w:val="-2"/>
          <w:sz w:val="24"/>
          <w:szCs w:val="24"/>
          <w:rtl/>
          <w:lang w:eastAsia="ja-JP"/>
        </w:rPr>
        <w:footnoteReference w:id="16"/>
      </w:r>
    </w:p>
    <w:p w:rsidR="009C6008" w:rsidRDefault="004A60D7" w:rsidP="009C600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pacing w:val="-2"/>
          <w:sz w:val="24"/>
          <w:szCs w:val="24"/>
          <w:rtl/>
          <w:lang w:eastAsia="ja-JP"/>
        </w:rPr>
        <w:t>אמנם, רבי ישראל איסרליין סייג קביעה זו באומרו ש"</w:t>
      </w:r>
      <w:r w:rsidRPr="00094E98">
        <w:rPr>
          <w:rFonts w:ascii="Arial" w:eastAsia="Arial Unicode MS" w:hAnsi="Arial"/>
          <w:b w:val="0"/>
          <w:bCs w:val="0"/>
          <w:snapToGrid w:val="0"/>
          <w:spacing w:val="-2"/>
          <w:sz w:val="24"/>
          <w:szCs w:val="24"/>
          <w:rtl/>
          <w:lang w:eastAsia="ja-JP"/>
        </w:rPr>
        <w:t>מן היתומים נהגו ליקח מס</w:t>
      </w:r>
      <w:r>
        <w:rPr>
          <w:rFonts w:ascii="Arial" w:eastAsia="Arial Unicode MS" w:hAnsi="Arial" w:hint="cs"/>
          <w:b w:val="0"/>
          <w:bCs w:val="0"/>
          <w:snapToGrid w:val="0"/>
          <w:spacing w:val="-2"/>
          <w:sz w:val="24"/>
          <w:szCs w:val="24"/>
          <w:rtl/>
          <w:lang w:eastAsia="ja-JP"/>
        </w:rPr>
        <w:t>,</w:t>
      </w:r>
      <w:r w:rsidRPr="00094E98">
        <w:rPr>
          <w:rFonts w:ascii="Arial" w:eastAsia="Arial Unicode MS" w:hAnsi="Arial"/>
          <w:b w:val="0"/>
          <w:bCs w:val="0"/>
          <w:snapToGrid w:val="0"/>
          <w:spacing w:val="-2"/>
          <w:sz w:val="24"/>
          <w:szCs w:val="24"/>
          <w:rtl/>
          <w:lang w:eastAsia="ja-JP"/>
        </w:rPr>
        <w:t xml:space="preserve"> </w:t>
      </w:r>
      <w:r w:rsidRPr="00CE3B46">
        <w:rPr>
          <w:rFonts w:ascii="Arial" w:eastAsia="Arial Unicode MS" w:hAnsi="Arial"/>
          <w:snapToGrid w:val="0"/>
          <w:spacing w:val="-2"/>
          <w:sz w:val="24"/>
          <w:szCs w:val="24"/>
          <w:rtl/>
          <w:lang w:eastAsia="ja-JP"/>
        </w:rPr>
        <w:t>כפי ממונם</w:t>
      </w:r>
      <w:r>
        <w:rPr>
          <w:rFonts w:ascii="Arial" w:eastAsia="Arial Unicode MS" w:hAnsi="Arial" w:hint="cs"/>
          <w:b w:val="0"/>
          <w:bCs w:val="0"/>
          <w:snapToGrid w:val="0"/>
          <w:spacing w:val="-2"/>
          <w:sz w:val="24"/>
          <w:szCs w:val="24"/>
          <w:rtl/>
          <w:lang w:eastAsia="ja-JP"/>
        </w:rPr>
        <w:t>".</w:t>
      </w:r>
      <w:r>
        <w:rPr>
          <w:rStyle w:val="a5"/>
          <w:rFonts w:ascii="Arial" w:eastAsia="Arial Unicode MS" w:hAnsi="Arial"/>
          <w:b w:val="0"/>
          <w:bCs w:val="0"/>
          <w:snapToGrid w:val="0"/>
          <w:spacing w:val="-2"/>
          <w:sz w:val="24"/>
          <w:szCs w:val="24"/>
          <w:rtl/>
          <w:lang w:eastAsia="ja-JP"/>
        </w:rPr>
        <w:footnoteReference w:id="17"/>
      </w:r>
      <w:r w:rsidR="009C6008">
        <w:rPr>
          <w:rFonts w:ascii="Arial" w:eastAsia="Arial Unicode MS" w:hAnsi="Arial" w:hint="cs"/>
          <w:b w:val="0"/>
          <w:bCs w:val="0"/>
          <w:snapToGrid w:val="0"/>
          <w:sz w:val="24"/>
          <w:szCs w:val="24"/>
          <w:rtl/>
          <w:lang w:eastAsia="ja-JP"/>
        </w:rPr>
        <w:t xml:space="preserve"> </w:t>
      </w:r>
      <w:r w:rsidRPr="004B33A8">
        <w:rPr>
          <w:rFonts w:ascii="Arial" w:eastAsia="Arial Unicode MS" w:hAnsi="Arial" w:hint="cs"/>
          <w:b w:val="0"/>
          <w:bCs w:val="0"/>
          <w:snapToGrid w:val="0"/>
          <w:sz w:val="24"/>
          <w:szCs w:val="24"/>
          <w:rtl/>
          <w:lang w:eastAsia="ja-JP"/>
        </w:rPr>
        <w:t>מדבריו עולה, שעל אף הקביעה העקרונית, שיש לחייב גם את היתומים להשתתף בהוצאות לכריית בארות המים, חיוב זה חייב להתחשב במצבם הכלכלי.</w:t>
      </w:r>
      <w:r w:rsidR="00EA7527">
        <w:rPr>
          <w:rFonts w:ascii="Arial" w:eastAsia="Arial Unicode MS" w:hAnsi="Arial" w:hint="cs"/>
          <w:b w:val="0"/>
          <w:bCs w:val="0"/>
          <w:snapToGrid w:val="0"/>
          <w:sz w:val="24"/>
          <w:szCs w:val="24"/>
          <w:rtl/>
          <w:lang w:eastAsia="ja-JP"/>
        </w:rPr>
        <w:t xml:space="preserve"> </w:t>
      </w:r>
    </w:p>
    <w:p w:rsidR="002741EF" w:rsidRDefault="00EA7527" w:rsidP="002741EF">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lastRenderedPageBreak/>
        <w:t>נראה כי מדבריו ניתן להסיק, שבמידה והיתומים שילמו עבור המים בהתאם ליכולתם הכלכלית, לא ניתן לשלול מהם את הזכות להשתמש במים</w:t>
      </w:r>
      <w:r w:rsidR="002741EF">
        <w:rPr>
          <w:rFonts w:ascii="Arial" w:eastAsia="Arial Unicode MS" w:hAnsi="Arial" w:hint="cs"/>
          <w:b w:val="0"/>
          <w:bCs w:val="0"/>
          <w:snapToGrid w:val="0"/>
          <w:sz w:val="24"/>
          <w:szCs w:val="24"/>
          <w:rtl/>
          <w:lang w:eastAsia="ja-JP"/>
        </w:rPr>
        <w:t>.</w:t>
      </w:r>
    </w:p>
    <w:p w:rsidR="00EA7527" w:rsidRDefault="002741EF" w:rsidP="00813992">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מנגד, קשה להסיק מדבריו, האם הציבור רשאי לשלול ממי שלא שילם את חלקו בהוצאה הציבורית הדרושה עבור הפקת המים והפצתם </w:t>
      </w:r>
      <w:r w:rsidR="00813992">
        <w:rPr>
          <w:rFonts w:ascii="Arial" w:eastAsia="Arial Unicode MS" w:hAnsi="Arial" w:hint="cs"/>
          <w:b w:val="0"/>
          <w:bCs w:val="0"/>
          <w:snapToGrid w:val="0"/>
          <w:sz w:val="24"/>
          <w:szCs w:val="24"/>
          <w:rtl/>
          <w:lang w:eastAsia="ja-JP"/>
        </w:rPr>
        <w:t>אם יש בידו לשלם את חלקו בהוצאה זו, אך הוא מתחמק מתשלום.</w:t>
      </w:r>
    </w:p>
    <w:p w:rsidR="009C6008" w:rsidRDefault="00813992" w:rsidP="009C600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כאן יש להדגיש, שלעיתים, שלילת זכות השימוש במים</w:t>
      </w:r>
      <w:r w:rsidR="00157D9E">
        <w:rPr>
          <w:rFonts w:ascii="Arial" w:eastAsia="Arial Unicode MS" w:hAnsi="Arial" w:hint="cs"/>
          <w:b w:val="0"/>
          <w:bCs w:val="0"/>
          <w:snapToGrid w:val="0"/>
          <w:sz w:val="24"/>
          <w:szCs w:val="24"/>
          <w:rtl/>
          <w:lang w:eastAsia="ja-JP"/>
        </w:rPr>
        <w:t xml:space="preserve"> פוגעת לא רק באבי המשפחה, החומק מן התשלום עבורם, אלא גם בבני משפחתו שבהם לעיתים טף, זקנים וחולים.</w:t>
      </w:r>
    </w:p>
    <w:p w:rsidR="00157D9E" w:rsidRDefault="00157D9E" w:rsidP="000E776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 xml:space="preserve">בעניין זה לא מצאנו מקור ברור, זולת תקנה ייחודית של ועד השכונה </w:t>
      </w:r>
      <w:r w:rsidR="00984395">
        <w:rPr>
          <w:rFonts w:ascii="Arial" w:eastAsia="Arial Unicode MS" w:hAnsi="Arial" w:hint="cs"/>
          <w:b w:val="0"/>
          <w:bCs w:val="0"/>
          <w:snapToGrid w:val="0"/>
          <w:sz w:val="24"/>
          <w:szCs w:val="24"/>
          <w:rtl/>
          <w:lang w:eastAsia="ja-JP"/>
        </w:rPr>
        <w:t>ימים משה שבירושלים</w:t>
      </w:r>
      <w:r>
        <w:rPr>
          <w:rFonts w:ascii="Arial" w:eastAsia="Arial Unicode MS" w:hAnsi="Arial" w:hint="cs"/>
          <w:b w:val="0"/>
          <w:bCs w:val="0"/>
          <w:snapToGrid w:val="0"/>
          <w:sz w:val="24"/>
          <w:szCs w:val="24"/>
          <w:rtl/>
          <w:lang w:eastAsia="ja-JP"/>
        </w:rPr>
        <w:t>, כנראה משנת תרס"ט</w:t>
      </w:r>
      <w:r w:rsidR="00984395">
        <w:rPr>
          <w:rFonts w:ascii="Arial" w:eastAsia="Arial Unicode MS" w:hAnsi="Arial" w:hint="cs"/>
          <w:b w:val="0"/>
          <w:bCs w:val="0"/>
          <w:snapToGrid w:val="0"/>
          <w:sz w:val="24"/>
          <w:szCs w:val="24"/>
          <w:rtl/>
          <w:lang w:eastAsia="ja-JP"/>
        </w:rPr>
        <w:t>,</w:t>
      </w:r>
      <w:r w:rsidR="000E7768">
        <w:rPr>
          <w:rStyle w:val="a5"/>
          <w:rFonts w:ascii="Arial" w:eastAsia="Arial Unicode MS" w:hAnsi="Arial"/>
          <w:b w:val="0"/>
          <w:bCs w:val="0"/>
          <w:snapToGrid w:val="0"/>
          <w:spacing w:val="-2"/>
          <w:sz w:val="24"/>
          <w:szCs w:val="24"/>
          <w:rtl/>
          <w:lang w:eastAsia="ja-JP"/>
        </w:rPr>
        <w:footnoteReference w:id="18"/>
      </w:r>
      <w:r w:rsidR="00165A5B" w:rsidRPr="00165A5B">
        <w:rPr>
          <w:rFonts w:hint="cs"/>
          <w:rtl/>
        </w:rPr>
        <w:t xml:space="preserve"> </w:t>
      </w:r>
      <w:r w:rsidR="00165A5B" w:rsidRPr="00165A5B">
        <w:rPr>
          <w:rFonts w:ascii="Arial" w:eastAsia="Arial Unicode MS" w:hAnsi="Arial" w:hint="cs"/>
          <w:b w:val="0"/>
          <w:bCs w:val="0"/>
          <w:snapToGrid w:val="0"/>
          <w:sz w:val="24"/>
          <w:szCs w:val="24"/>
          <w:rtl/>
          <w:lang w:eastAsia="ja-JP"/>
        </w:rPr>
        <w:t>בעניין הצורך בתיקון "שני בורות החברה הנשברים, והמים הלכו לאיבוד, וגם הבור הגדול צריך תיקון באיזה מקומות, וגם המרזיבה של השופכין העומד על אם הדרך השכונה מתמלא בימות הגשמים ומקלקל את השכונה כידוע". התקנה קובעת את גובה החיוב עבור כל אחד מ"בני החברה", ו</w:t>
      </w:r>
      <w:r w:rsidR="00165A5B">
        <w:rPr>
          <w:rFonts w:ascii="Arial" w:eastAsia="Arial Unicode MS" w:hAnsi="Arial" w:hint="cs"/>
          <w:b w:val="0"/>
          <w:bCs w:val="0"/>
          <w:snapToGrid w:val="0"/>
          <w:sz w:val="24"/>
          <w:szCs w:val="24"/>
          <w:rtl/>
          <w:lang w:eastAsia="ja-JP"/>
        </w:rPr>
        <w:t>ה</w:t>
      </w:r>
      <w:r w:rsidR="00165A5B" w:rsidRPr="00165A5B">
        <w:rPr>
          <w:rFonts w:ascii="Arial" w:eastAsia="Arial Unicode MS" w:hAnsi="Arial" w:hint="cs"/>
          <w:b w:val="0"/>
          <w:bCs w:val="0"/>
          <w:snapToGrid w:val="0"/>
          <w:sz w:val="24"/>
          <w:szCs w:val="24"/>
          <w:rtl/>
          <w:lang w:eastAsia="ja-JP"/>
        </w:rPr>
        <w:t xml:space="preserve">טילה עונש על מי שלא ישלם את חובו במועד, ש"יוגרע מחלקו המים של הבורות הנזכרים". </w:t>
      </w:r>
    </w:p>
    <w:p w:rsidR="00D37C18" w:rsidRDefault="00D37C18" w:rsidP="000E7768">
      <w:pPr>
        <w:pStyle w:val="1"/>
        <w:numPr>
          <w:ilvl w:val="0"/>
          <w:numId w:val="0"/>
        </w:numPr>
        <w:spacing w:before="120"/>
        <w:ind w:right="0"/>
        <w:rPr>
          <w:rFonts w:ascii="Arial" w:eastAsia="Arial Unicode MS" w:hAnsi="Arial"/>
          <w:b w:val="0"/>
          <w:bCs w:val="0"/>
          <w:snapToGrid w:val="0"/>
          <w:sz w:val="24"/>
          <w:szCs w:val="24"/>
          <w:rtl/>
          <w:lang w:eastAsia="ja-JP"/>
        </w:rPr>
      </w:pPr>
      <w:r>
        <w:rPr>
          <w:rFonts w:ascii="Arial" w:eastAsia="Arial Unicode MS" w:hAnsi="Arial" w:hint="cs"/>
          <w:b w:val="0"/>
          <w:bCs w:val="0"/>
          <w:snapToGrid w:val="0"/>
          <w:sz w:val="24"/>
          <w:szCs w:val="24"/>
          <w:rtl/>
          <w:lang w:eastAsia="ja-JP"/>
        </w:rPr>
        <w:t>אמנם, גם מנוסח תקנה זו עולה שלא תישלל לחלוטין הזכות למים, אלא רק, שיצומצם חלקו של תושב שלא ישלם את החלק שנקבע לו בהוצאות הדרושות לשם אחזק</w:t>
      </w:r>
      <w:r w:rsidR="000E7768">
        <w:rPr>
          <w:rFonts w:ascii="Arial" w:eastAsia="Arial Unicode MS" w:hAnsi="Arial" w:hint="cs"/>
          <w:b w:val="0"/>
          <w:bCs w:val="0"/>
          <w:snapToGrid w:val="0"/>
          <w:sz w:val="24"/>
          <w:szCs w:val="24"/>
          <w:rtl/>
          <w:lang w:eastAsia="ja-JP"/>
        </w:rPr>
        <w:t>תם של בו</w:t>
      </w:r>
      <w:r>
        <w:rPr>
          <w:rFonts w:ascii="Arial" w:eastAsia="Arial Unicode MS" w:hAnsi="Arial" w:hint="cs"/>
          <w:b w:val="0"/>
          <w:bCs w:val="0"/>
          <w:snapToGrid w:val="0"/>
          <w:sz w:val="24"/>
          <w:szCs w:val="24"/>
          <w:rtl/>
          <w:lang w:eastAsia="ja-JP"/>
        </w:rPr>
        <w:t xml:space="preserve">רות </w:t>
      </w:r>
      <w:r w:rsidR="000E7768">
        <w:rPr>
          <w:rFonts w:ascii="Arial" w:eastAsia="Arial Unicode MS" w:hAnsi="Arial" w:hint="cs"/>
          <w:b w:val="0"/>
          <w:bCs w:val="0"/>
          <w:snapToGrid w:val="0"/>
          <w:sz w:val="24"/>
          <w:szCs w:val="24"/>
          <w:rtl/>
          <w:lang w:eastAsia="ja-JP"/>
        </w:rPr>
        <w:t>ה</w:t>
      </w:r>
      <w:r>
        <w:rPr>
          <w:rFonts w:ascii="Arial" w:eastAsia="Arial Unicode MS" w:hAnsi="Arial" w:hint="cs"/>
          <w:b w:val="0"/>
          <w:bCs w:val="0"/>
          <w:snapToGrid w:val="0"/>
          <w:sz w:val="24"/>
          <w:szCs w:val="24"/>
          <w:rtl/>
          <w:lang w:eastAsia="ja-JP"/>
        </w:rPr>
        <w:t>מים</w:t>
      </w:r>
      <w:r w:rsidR="000E7768">
        <w:rPr>
          <w:rFonts w:ascii="Arial" w:eastAsia="Arial Unicode MS" w:hAnsi="Arial" w:hint="cs"/>
          <w:b w:val="0"/>
          <w:bCs w:val="0"/>
          <w:snapToGrid w:val="0"/>
          <w:sz w:val="24"/>
          <w:szCs w:val="24"/>
          <w:rtl/>
          <w:lang w:eastAsia="ja-JP"/>
        </w:rPr>
        <w:t xml:space="preserve"> ("</w:t>
      </w:r>
      <w:r w:rsidR="000E7768" w:rsidRPr="00165A5B">
        <w:rPr>
          <w:rFonts w:ascii="Arial" w:eastAsia="Arial Unicode MS" w:hAnsi="Arial" w:hint="cs"/>
          <w:b w:val="0"/>
          <w:bCs w:val="0"/>
          <w:snapToGrid w:val="0"/>
          <w:sz w:val="24"/>
          <w:szCs w:val="24"/>
          <w:rtl/>
          <w:lang w:eastAsia="ja-JP"/>
        </w:rPr>
        <w:t>יוגרע מחלקו</w:t>
      </w:r>
      <w:r w:rsidR="000E7768">
        <w:rPr>
          <w:rFonts w:ascii="Arial" w:eastAsia="Arial Unicode MS" w:hAnsi="Arial" w:hint="cs"/>
          <w:b w:val="0"/>
          <w:bCs w:val="0"/>
          <w:snapToGrid w:val="0"/>
          <w:sz w:val="24"/>
          <w:szCs w:val="24"/>
          <w:rtl/>
          <w:lang w:eastAsia="ja-JP"/>
        </w:rPr>
        <w:t>"), וייתכן שצמצום חלקו של מי שאינו נושא בהוצאות המים יגיע, לכל היותר, עד כדי פגיעה במים הדרושים לקיום מינימאלי בכבוד.</w:t>
      </w:r>
    </w:p>
    <w:p w:rsidR="005C495F" w:rsidRDefault="004A60D7" w:rsidP="000E7768">
      <w:pPr>
        <w:pStyle w:val="1"/>
        <w:numPr>
          <w:ilvl w:val="0"/>
          <w:numId w:val="0"/>
        </w:numPr>
        <w:spacing w:before="120"/>
        <w:ind w:right="0"/>
        <w:rPr>
          <w:rStyle w:val="HTMLCite"/>
          <w:i w:val="0"/>
          <w:iCs w:val="0"/>
          <w:sz w:val="24"/>
          <w:szCs w:val="24"/>
          <w:rtl/>
        </w:rPr>
      </w:pPr>
      <w:r w:rsidRPr="004B33A8">
        <w:rPr>
          <w:rFonts w:ascii="Arial" w:eastAsia="Arial Unicode MS" w:hAnsi="Arial" w:hint="cs"/>
          <w:b w:val="0"/>
          <w:bCs w:val="0"/>
          <w:snapToGrid w:val="0"/>
          <w:sz w:val="24"/>
          <w:szCs w:val="24"/>
          <w:rtl/>
          <w:lang w:eastAsia="ja-JP"/>
        </w:rPr>
        <w:t xml:space="preserve"> עם זאת, לא מצאנו מקור הלכתי המתיר בצורה מפורשת לשלול מן היתומים את הזכות להשתמש במים אם הם לא השתתפו בהוצאות אספקתם</w:t>
      </w:r>
      <w:r>
        <w:rPr>
          <w:rFonts w:ascii="Arial" w:eastAsia="Arial Unicode MS" w:hAnsi="Arial" w:hint="cs"/>
          <w:b w:val="0"/>
          <w:bCs w:val="0"/>
          <w:snapToGrid w:val="0"/>
          <w:spacing w:val="-2"/>
          <w:sz w:val="24"/>
          <w:szCs w:val="24"/>
          <w:rtl/>
          <w:lang w:eastAsia="ja-JP"/>
        </w:rPr>
        <w:t>.</w:t>
      </w:r>
      <w:r w:rsidRPr="00773910">
        <w:rPr>
          <w:rStyle w:val="HTMLCite"/>
          <w:rFonts w:hint="cs"/>
          <w:i w:val="0"/>
          <w:iCs w:val="0"/>
          <w:rtl/>
        </w:rPr>
        <w:t xml:space="preserve"> </w:t>
      </w:r>
    </w:p>
    <w:p w:rsidR="008B5BE2" w:rsidRDefault="008B5BE2" w:rsidP="008B5BE2">
      <w:pPr>
        <w:pStyle w:val="10"/>
        <w:numPr>
          <w:ilvl w:val="0"/>
          <w:numId w:val="2"/>
        </w:numPr>
        <w:rPr>
          <w:rtl/>
        </w:rPr>
      </w:pPr>
      <w:r w:rsidRPr="008B5BE2">
        <w:rPr>
          <w:rFonts w:hint="cs"/>
          <w:rtl/>
        </w:rPr>
        <w:t>שלילת משאב חיוני כאמצעי לחץ לשם גביית חובות עבר</w:t>
      </w:r>
    </w:p>
    <w:p w:rsidR="00E56928" w:rsidRDefault="00E56928" w:rsidP="00E56928">
      <w:pPr>
        <w:rPr>
          <w:rtl/>
          <w:lang w:eastAsia="en-US"/>
        </w:rPr>
      </w:pPr>
      <w:r>
        <w:rPr>
          <w:rFonts w:hint="cs"/>
          <w:rtl/>
          <w:lang w:eastAsia="en-US"/>
        </w:rPr>
        <w:t xml:space="preserve">דיני ההוצאה לפועל של המשפט העברי מורים לנושה להימנע מנטילת אמצעי מחיה חיוניים מן החייב, אם כאמצעי לפריעתו של החוב ואם כאמצעי ללחץ. </w:t>
      </w:r>
      <w:r>
        <w:rPr>
          <w:rtl/>
          <w:lang w:eastAsia="en-US"/>
        </w:rPr>
        <w:t>וכך נפסק בעניין זה בשולחן ערוך</w:t>
      </w:r>
      <w:r>
        <w:rPr>
          <w:rFonts w:hint="cs"/>
          <w:rtl/>
          <w:lang w:eastAsia="en-US"/>
        </w:rPr>
        <w:t xml:space="preserve"> </w:t>
      </w:r>
      <w:r>
        <w:rPr>
          <w:rtl/>
          <w:lang w:eastAsia="en-US"/>
        </w:rPr>
        <w:t>–</w:t>
      </w:r>
      <w:r>
        <w:rPr>
          <w:rFonts w:hint="cs"/>
          <w:rtl/>
          <w:lang w:eastAsia="en-US"/>
        </w:rPr>
        <w:t xml:space="preserve"> </w:t>
      </w:r>
    </w:p>
    <w:p w:rsidR="00E56928" w:rsidRDefault="00E56928" w:rsidP="00E56928">
      <w:pPr>
        <w:ind w:left="567" w:right="567"/>
        <w:rPr>
          <w:rtl/>
          <w:lang w:eastAsia="en-US"/>
        </w:rPr>
      </w:pPr>
      <w:r>
        <w:rPr>
          <w:rtl/>
          <w:lang w:eastAsia="en-US"/>
        </w:rPr>
        <w:t>כשיגיע זמן הפירעון ובא לגבות חובו מסדרין לבעל חוב. כיצד? אומרים ללוה: הבא כל המטלטלים שיש לך, ולא תניח אפילו מחט אחת, ואפילו כלי אוכל נפש. ונותנין לו מהכל מזון שלשים יום וכסות י"ב חדש; ולא שילבש בגדי משי או מצנפת זהובה, אלא מעבירים אותה ממנו ונותנים לו כסות הראויה לו לי"ב חדש, ומטה לישב עליה, ומטה ומצע ... ונותנים לו סנדלו ותפיליו. היה אומן, נותנים לו שני כלי אומנות מכל מין ומין</w:t>
      </w:r>
      <w:r>
        <w:rPr>
          <w:rFonts w:hint="cs"/>
          <w:rtl/>
          <w:lang w:eastAsia="en-US"/>
        </w:rPr>
        <w:t>.</w:t>
      </w:r>
      <w:r>
        <w:rPr>
          <w:rStyle w:val="a5"/>
          <w:rtl/>
          <w:lang w:eastAsia="en-US"/>
        </w:rPr>
        <w:footnoteReference w:id="19"/>
      </w:r>
    </w:p>
    <w:p w:rsidR="00E56928" w:rsidRDefault="00E56928" w:rsidP="00E56928">
      <w:pPr>
        <w:rPr>
          <w:rtl/>
          <w:lang w:eastAsia="en-US"/>
        </w:rPr>
      </w:pPr>
      <w:r>
        <w:rPr>
          <w:rFonts w:hint="cs"/>
          <w:rtl/>
          <w:lang w:eastAsia="en-US"/>
        </w:rPr>
        <w:t>העיקרון העולה מן ההלכה הוא, ש</w:t>
      </w:r>
      <w:r>
        <w:rPr>
          <w:rtl/>
          <w:lang w:eastAsia="en-US"/>
        </w:rPr>
        <w:t>כאשר נפרעים מן החייב, יש להשאיר בידיו צרכי קיום בסיסיים, הכוללים ביגוד, מזון, ריהוט בסיסי, תשמישי קדושה וחפצים הדרושים לו ל</w:t>
      </w:r>
      <w:r>
        <w:rPr>
          <w:rFonts w:hint="cs"/>
          <w:rtl/>
          <w:lang w:eastAsia="en-US"/>
        </w:rPr>
        <w:t>עבודתו.</w:t>
      </w:r>
    </w:p>
    <w:p w:rsidR="008B5BE2" w:rsidRPr="008B5BE2" w:rsidRDefault="00E56928" w:rsidP="00E56928">
      <w:pPr>
        <w:rPr>
          <w:rtl/>
          <w:lang w:eastAsia="en-US"/>
        </w:rPr>
      </w:pPr>
      <w:r>
        <w:rPr>
          <w:rFonts w:hint="cs"/>
          <w:rtl/>
          <w:lang w:eastAsia="en-US"/>
        </w:rPr>
        <w:lastRenderedPageBreak/>
        <w:t>אם לשם פירעון החוב עצמו לא התירה ההלכה לפגוע באמצעי מחיה בסיסיים, וודאי שאין להתיר פגיעה שכזו כאמצעי לחץ על החייב, כדי שיפרע את חובו.</w:t>
      </w:r>
      <w:r>
        <w:rPr>
          <w:rStyle w:val="a5"/>
          <w:rtl/>
          <w:lang w:eastAsia="en-US"/>
        </w:rPr>
        <w:footnoteReference w:id="20"/>
      </w:r>
    </w:p>
    <w:p w:rsidR="008B5BE2" w:rsidRDefault="00E4499B" w:rsidP="008B5BE2">
      <w:pPr>
        <w:pStyle w:val="10"/>
        <w:numPr>
          <w:ilvl w:val="0"/>
          <w:numId w:val="2"/>
        </w:numPr>
        <w:rPr>
          <w:rtl/>
        </w:rPr>
      </w:pPr>
      <w:r w:rsidRPr="00E4499B">
        <w:rPr>
          <w:rFonts w:hint="cs"/>
          <w:rtl/>
        </w:rPr>
        <w:t>מסקנות</w:t>
      </w:r>
    </w:p>
    <w:p w:rsidR="00E4499B" w:rsidRDefault="00E40D6D" w:rsidP="00811A01">
      <w:pPr>
        <w:pStyle w:val="a8"/>
        <w:numPr>
          <w:ilvl w:val="0"/>
          <w:numId w:val="8"/>
        </w:numPr>
        <w:rPr>
          <w:rtl/>
          <w:lang w:eastAsia="en-US"/>
        </w:rPr>
      </w:pPr>
      <w:r>
        <w:rPr>
          <w:rFonts w:hint="cs"/>
          <w:rtl/>
          <w:lang w:eastAsia="en-US"/>
        </w:rPr>
        <w:t>משאב חיוני איננו 'מצרך' אלא 'משאב ציבורי' יש להבטיח את זמינותו לכל.</w:t>
      </w:r>
    </w:p>
    <w:p w:rsidR="00E40D6D" w:rsidRDefault="00E40D6D" w:rsidP="00811A01">
      <w:pPr>
        <w:pStyle w:val="a8"/>
        <w:numPr>
          <w:ilvl w:val="0"/>
          <w:numId w:val="8"/>
        </w:numPr>
        <w:rPr>
          <w:rtl/>
          <w:lang w:eastAsia="en-US"/>
        </w:rPr>
      </w:pPr>
      <w:r>
        <w:rPr>
          <w:rFonts w:hint="cs"/>
          <w:rtl/>
          <w:lang w:eastAsia="en-US"/>
        </w:rPr>
        <w:t>אמנם, לדעת חלק מן הפוסקים, השקעת כסף, זמן ומאמץ בהפקתו והפצתו של משאב עשויה להפוך משאב זה ל'מצרך' בבעלות פרטית, שיש לשלם עליו כמו על כל מצרך אחר, ובעליו רשאי למנוע אותו ממי שאינו משלם את התמורה עבור צריכתו.</w:t>
      </w:r>
    </w:p>
    <w:p w:rsidR="00E40D6D" w:rsidRDefault="00E40D6D" w:rsidP="00811A01">
      <w:pPr>
        <w:pStyle w:val="a8"/>
        <w:numPr>
          <w:ilvl w:val="0"/>
          <w:numId w:val="8"/>
        </w:numPr>
        <w:rPr>
          <w:rtl/>
          <w:lang w:eastAsia="en-US"/>
        </w:rPr>
      </w:pPr>
      <w:r>
        <w:rPr>
          <w:rFonts w:hint="cs"/>
          <w:rtl/>
          <w:lang w:eastAsia="en-US"/>
        </w:rPr>
        <w:t>לדעת אחרים, ההשקעה בהפקתו והפצתו של המשאב אינה הופכת אותו ל'מצרך', אך במידה והמשאב נובע מאוצרות טבע המצויים בחלקה הפרטית, משאב זה נחשב לנכס בבעלות פרטית, שההחלטה אם למוסרו לאחרים ובאלו תנאים מסורה באופן בלעדי בידיו של בעליו.</w:t>
      </w:r>
    </w:p>
    <w:p w:rsidR="00E40D6D" w:rsidRDefault="00E40D6D" w:rsidP="00811A01">
      <w:pPr>
        <w:pStyle w:val="a8"/>
        <w:numPr>
          <w:ilvl w:val="0"/>
          <w:numId w:val="8"/>
        </w:numPr>
        <w:rPr>
          <w:rtl/>
          <w:lang w:eastAsia="en-US"/>
        </w:rPr>
      </w:pPr>
      <w:r>
        <w:rPr>
          <w:rFonts w:hint="cs"/>
          <w:rtl/>
          <w:lang w:eastAsia="en-US"/>
        </w:rPr>
        <w:t>לכל הדעות, כל אדם מחויב לשלם עבור הוצאות ההפקה וההפצה של משאבים חיוניים, אך גובה התשלום הנדרש לכיסוי ההוצאות האמורות ייקבע בהתאם ליכולתו הכלכלית של האדם הצורך משאב זה.</w:t>
      </w:r>
    </w:p>
    <w:p w:rsidR="00E40D6D" w:rsidRDefault="00E40D6D" w:rsidP="00811A01">
      <w:pPr>
        <w:pStyle w:val="a8"/>
        <w:numPr>
          <w:ilvl w:val="0"/>
          <w:numId w:val="8"/>
        </w:numPr>
        <w:rPr>
          <w:rtl/>
          <w:lang w:eastAsia="en-US"/>
        </w:rPr>
      </w:pPr>
      <w:r>
        <w:rPr>
          <w:rFonts w:hint="cs"/>
          <w:rtl/>
          <w:lang w:eastAsia="en-US"/>
        </w:rPr>
        <w:t>לא ניתן לשלול מאדם את הזכות לצרוך משאב חיוני אם שילם עבור הוצאות הפקתו והפצתו, בהתאם ליכולתו הכלכלית.</w:t>
      </w:r>
    </w:p>
    <w:p w:rsidR="00E40D6D" w:rsidRDefault="00E40D6D" w:rsidP="00811A01">
      <w:pPr>
        <w:pStyle w:val="a8"/>
        <w:numPr>
          <w:ilvl w:val="0"/>
          <w:numId w:val="8"/>
        </w:numPr>
        <w:rPr>
          <w:rtl/>
          <w:lang w:eastAsia="en-US"/>
        </w:rPr>
      </w:pPr>
      <w:r>
        <w:rPr>
          <w:rFonts w:hint="cs"/>
          <w:rtl/>
          <w:lang w:eastAsia="en-US"/>
        </w:rPr>
        <w:t>נראה כי ניתן להגביל או לצמצם את זכותו של אדם לצרוך משאב חיוני בשל התחמקות בזדון מן החובה לשאת בהוצאות הפקתו והפצתו של משאב זה, אך לא ניתן לשלול לחלוטין את זכות השימוש במשאב, גם כאשר ברור שהצרכן אינו משלם את החוב שהותאם במיוחד עבורו, בהתאם ליכולתו הכלכלית.</w:t>
      </w:r>
    </w:p>
    <w:p w:rsidR="00811A01" w:rsidRDefault="00811A01" w:rsidP="00811A01">
      <w:pPr>
        <w:pStyle w:val="a8"/>
        <w:numPr>
          <w:ilvl w:val="0"/>
          <w:numId w:val="8"/>
        </w:numPr>
        <w:rPr>
          <w:rtl/>
          <w:lang w:eastAsia="en-US"/>
        </w:rPr>
      </w:pPr>
      <w:r>
        <w:rPr>
          <w:rFonts w:hint="cs"/>
          <w:rtl/>
          <w:lang w:eastAsia="en-US"/>
        </w:rPr>
        <w:t>אין לשלול את זכות השימוש במשאב חיוני כאמצעי לחץ על חייב המסרב לפרוע חוב הקשור בכיסוי הוצאות ההםקה וההפצה של המשאב.</w:t>
      </w:r>
    </w:p>
    <w:p w:rsidR="00811A01" w:rsidRDefault="00811A01" w:rsidP="00811A01">
      <w:pPr>
        <w:pStyle w:val="a8"/>
        <w:numPr>
          <w:ilvl w:val="0"/>
          <w:numId w:val="8"/>
        </w:numPr>
        <w:rPr>
          <w:rtl/>
          <w:lang w:eastAsia="en-US"/>
        </w:rPr>
      </w:pPr>
      <w:r>
        <w:rPr>
          <w:rFonts w:hint="cs"/>
          <w:rtl/>
          <w:lang w:eastAsia="en-US"/>
        </w:rPr>
        <w:t>עם זאת, נראה כי ניתן להגביל או לצמצם את זכות השימוש במשאב כאמצעי לחץ על חייב המסרב לפרוע חוב הקשור בכיסוי הוצאות ההפקה וההפצה של המשאב, כל עוד צמצום זכות השימוש או הגבלתה אינם עולים כדי פגיעה בתנאי המחיה הבסיסיים של החייב.</w:t>
      </w:r>
    </w:p>
    <w:p w:rsidR="00E40D6D" w:rsidRDefault="00811A01" w:rsidP="00E40D6D">
      <w:pPr>
        <w:rPr>
          <w:rtl/>
          <w:lang w:eastAsia="en-US"/>
        </w:rPr>
      </w:pPr>
      <w:r>
        <w:rPr>
          <w:rFonts w:hint="cs"/>
          <w:rtl/>
          <w:lang w:eastAsia="en-US"/>
        </w:rPr>
        <w:t xml:space="preserve">   </w:t>
      </w:r>
    </w:p>
    <w:p w:rsidR="00E40D6D" w:rsidRPr="00E4499B" w:rsidRDefault="00E40D6D" w:rsidP="00E4499B">
      <w:pPr>
        <w:rPr>
          <w:rtl/>
          <w:lang w:eastAsia="en-US"/>
        </w:rPr>
      </w:pPr>
    </w:p>
    <w:sectPr w:rsidR="00E40D6D" w:rsidRPr="00E4499B" w:rsidSect="00721A9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3D1" w:rsidRDefault="00AC13D1" w:rsidP="004A60D7">
      <w:pPr>
        <w:spacing w:before="0" w:after="0" w:line="240" w:lineRule="auto"/>
      </w:pPr>
      <w:r>
        <w:separator/>
      </w:r>
    </w:p>
  </w:endnote>
  <w:endnote w:type="continuationSeparator" w:id="0">
    <w:p w:rsidR="00AC13D1" w:rsidRDefault="00AC13D1" w:rsidP="004A60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00013627"/>
      <w:docPartObj>
        <w:docPartGallery w:val="Page Numbers (Bottom of Page)"/>
        <w:docPartUnique/>
      </w:docPartObj>
    </w:sdtPr>
    <w:sdtEndPr/>
    <w:sdtContent>
      <w:p w:rsidR="005D2678" w:rsidRDefault="005D2678">
        <w:pPr>
          <w:pStyle w:val="ab"/>
          <w:jc w:val="center"/>
        </w:pPr>
        <w:r>
          <w:fldChar w:fldCharType="begin"/>
        </w:r>
        <w:r>
          <w:instrText xml:space="preserve"> PAGE   \* MERGEFORMAT </w:instrText>
        </w:r>
        <w:r>
          <w:fldChar w:fldCharType="separate"/>
        </w:r>
        <w:r w:rsidR="0066156A">
          <w:rPr>
            <w:noProof/>
            <w:rtl/>
          </w:rPr>
          <w:t>1</w:t>
        </w:r>
        <w:r>
          <w:rPr>
            <w:noProof/>
          </w:rPr>
          <w:fldChar w:fldCharType="end"/>
        </w:r>
      </w:p>
    </w:sdtContent>
  </w:sdt>
  <w:p w:rsidR="005D2678" w:rsidRDefault="005D26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3D1" w:rsidRDefault="00AC13D1" w:rsidP="004A60D7">
      <w:pPr>
        <w:spacing w:before="0" w:after="0" w:line="240" w:lineRule="auto"/>
      </w:pPr>
      <w:r>
        <w:separator/>
      </w:r>
    </w:p>
  </w:footnote>
  <w:footnote w:type="continuationSeparator" w:id="0">
    <w:p w:rsidR="00AC13D1" w:rsidRDefault="00AC13D1" w:rsidP="004A60D7">
      <w:pPr>
        <w:spacing w:before="0" w:after="0" w:line="240" w:lineRule="auto"/>
      </w:pPr>
      <w:r>
        <w:continuationSeparator/>
      </w:r>
    </w:p>
  </w:footnote>
  <w:footnote w:id="1">
    <w:p w:rsidR="00F80904" w:rsidRDefault="00F80904">
      <w:pPr>
        <w:pStyle w:val="a3"/>
      </w:pPr>
      <w:r>
        <w:rPr>
          <w:rStyle w:val="a5"/>
        </w:rPr>
        <w:footnoteRef/>
      </w:r>
      <w:r>
        <w:rPr>
          <w:rtl/>
        </w:rPr>
        <w:t xml:space="preserve"> </w:t>
      </w:r>
      <w:r>
        <w:rPr>
          <w:rFonts w:hint="cs"/>
          <w:spacing w:val="-6"/>
          <w:rtl/>
        </w:rPr>
        <w:t xml:space="preserve">ראו למשל: ע"א 9686/33 </w:t>
      </w:r>
      <w:r w:rsidRPr="00073B31">
        <w:rPr>
          <w:rFonts w:hint="cs"/>
          <w:b/>
          <w:bCs/>
          <w:spacing w:val="-6"/>
          <w:rtl/>
        </w:rPr>
        <w:t xml:space="preserve">פוריה כפר עבודה נ' לוי </w:t>
      </w:r>
      <w:r>
        <w:rPr>
          <w:rFonts w:hint="cs"/>
          <w:spacing w:val="-6"/>
          <w:rtl/>
        </w:rPr>
        <w:t xml:space="preserve">פ"ד נו(3) 899, 910 ("בלי מים אין חיים"); בג"ץ 63466/39 </w:t>
      </w:r>
      <w:r w:rsidRPr="00073B31">
        <w:rPr>
          <w:rFonts w:hint="cs"/>
          <w:b/>
          <w:bCs/>
          <w:spacing w:val="-6"/>
          <w:rtl/>
        </w:rPr>
        <w:t>יובלים ש.ד.י בע"מ נ' ממשלת ישראל</w:t>
      </w:r>
      <w:r>
        <w:rPr>
          <w:rFonts w:hint="cs"/>
          <w:spacing w:val="-6"/>
          <w:rtl/>
        </w:rPr>
        <w:t xml:space="preserve"> (פורסם ב'נבו') ("</w:t>
      </w:r>
      <w:r w:rsidRPr="00C76497">
        <w:rPr>
          <w:rFonts w:hint="cs"/>
          <w:spacing w:val="-6"/>
          <w:rtl/>
        </w:rPr>
        <w:t>מים</w:t>
      </w:r>
      <w:r>
        <w:rPr>
          <w:rFonts w:hint="cs"/>
          <w:spacing w:val="-6"/>
          <w:rtl/>
        </w:rPr>
        <w:t xml:space="preserve"> </w:t>
      </w:r>
      <w:r w:rsidRPr="00C76497">
        <w:rPr>
          <w:rFonts w:hint="cs"/>
          <w:spacing w:val="-6"/>
          <w:rtl/>
        </w:rPr>
        <w:t>הם</w:t>
      </w:r>
      <w:r>
        <w:rPr>
          <w:rFonts w:hint="cs"/>
          <w:spacing w:val="-6"/>
          <w:rtl/>
        </w:rPr>
        <w:t xml:space="preserve"> </w:t>
      </w:r>
      <w:r w:rsidRPr="00C76497">
        <w:rPr>
          <w:rFonts w:hint="cs"/>
          <w:spacing w:val="-6"/>
          <w:rtl/>
        </w:rPr>
        <w:t>אולי</w:t>
      </w:r>
      <w:r>
        <w:rPr>
          <w:rFonts w:hint="cs"/>
          <w:spacing w:val="-6"/>
          <w:rtl/>
        </w:rPr>
        <w:t xml:space="preserve"> </w:t>
      </w:r>
      <w:r w:rsidRPr="00C76497">
        <w:rPr>
          <w:rFonts w:hint="cs"/>
          <w:spacing w:val="-6"/>
          <w:rtl/>
        </w:rPr>
        <w:t>המוצר</w:t>
      </w:r>
      <w:r>
        <w:rPr>
          <w:rFonts w:hint="cs"/>
          <w:spacing w:val="-6"/>
          <w:rtl/>
        </w:rPr>
        <w:t xml:space="preserve"> </w:t>
      </w:r>
      <w:r w:rsidRPr="00C76497">
        <w:rPr>
          <w:rFonts w:hint="cs"/>
          <w:spacing w:val="-6"/>
          <w:rtl/>
        </w:rPr>
        <w:t>הנחוץ</w:t>
      </w:r>
      <w:r>
        <w:rPr>
          <w:rFonts w:hint="cs"/>
          <w:spacing w:val="-6"/>
          <w:rtl/>
        </w:rPr>
        <w:t xml:space="preserve"> </w:t>
      </w:r>
      <w:r w:rsidRPr="00C76497">
        <w:rPr>
          <w:rFonts w:hint="cs"/>
          <w:spacing w:val="-6"/>
          <w:rtl/>
        </w:rPr>
        <w:t>ביותר</w:t>
      </w:r>
      <w:r>
        <w:rPr>
          <w:rFonts w:hint="cs"/>
          <w:spacing w:val="-6"/>
          <w:rtl/>
        </w:rPr>
        <w:t xml:space="preserve"> </w:t>
      </w:r>
      <w:r w:rsidRPr="00C76497">
        <w:rPr>
          <w:rFonts w:hint="cs"/>
          <w:spacing w:val="-6"/>
          <w:rtl/>
        </w:rPr>
        <w:t>לאחר</w:t>
      </w:r>
      <w:r>
        <w:rPr>
          <w:rFonts w:hint="cs"/>
          <w:spacing w:val="-6"/>
          <w:rtl/>
        </w:rPr>
        <w:t xml:space="preserve"> </w:t>
      </w:r>
      <w:r w:rsidRPr="00C76497">
        <w:rPr>
          <w:rFonts w:hint="cs"/>
          <w:spacing w:val="-6"/>
          <w:rtl/>
        </w:rPr>
        <w:t>אוויר</w:t>
      </w:r>
      <w:r>
        <w:rPr>
          <w:rFonts w:hint="cs"/>
          <w:spacing w:val="-6"/>
          <w:rtl/>
        </w:rPr>
        <w:t xml:space="preserve"> </w:t>
      </w:r>
      <w:r w:rsidRPr="00C76497">
        <w:rPr>
          <w:rFonts w:hint="cs"/>
          <w:spacing w:val="-6"/>
          <w:rtl/>
        </w:rPr>
        <w:t>לנשימה</w:t>
      </w:r>
      <w:r>
        <w:rPr>
          <w:rFonts w:hint="cs"/>
          <w:spacing w:val="-6"/>
          <w:rtl/>
        </w:rPr>
        <w:t xml:space="preserve">, </w:t>
      </w:r>
      <w:r w:rsidRPr="00C76497">
        <w:rPr>
          <w:rFonts w:hint="cs"/>
          <w:spacing w:val="-6"/>
          <w:rtl/>
        </w:rPr>
        <w:t>שאותו</w:t>
      </w:r>
      <w:r>
        <w:rPr>
          <w:rFonts w:hint="cs"/>
          <w:spacing w:val="-6"/>
          <w:rtl/>
        </w:rPr>
        <w:t xml:space="preserve"> </w:t>
      </w:r>
      <w:r w:rsidRPr="00C76497">
        <w:rPr>
          <w:rFonts w:hint="cs"/>
          <w:spacing w:val="-6"/>
          <w:rtl/>
        </w:rPr>
        <w:t>על</w:t>
      </w:r>
      <w:r>
        <w:rPr>
          <w:rFonts w:hint="cs"/>
          <w:spacing w:val="-6"/>
          <w:rtl/>
        </w:rPr>
        <w:t xml:space="preserve"> </w:t>
      </w:r>
      <w:r w:rsidRPr="00C76497">
        <w:rPr>
          <w:rFonts w:hint="cs"/>
          <w:spacing w:val="-6"/>
          <w:rtl/>
        </w:rPr>
        <w:t>פי</w:t>
      </w:r>
      <w:r>
        <w:rPr>
          <w:rFonts w:hint="cs"/>
          <w:spacing w:val="-6"/>
          <w:rtl/>
        </w:rPr>
        <w:t xml:space="preserve"> </w:t>
      </w:r>
      <w:r w:rsidRPr="00C76497">
        <w:rPr>
          <w:rFonts w:hint="cs"/>
          <w:spacing w:val="-6"/>
          <w:rtl/>
        </w:rPr>
        <w:t>רוב</w:t>
      </w:r>
      <w:r>
        <w:rPr>
          <w:rFonts w:hint="cs"/>
          <w:spacing w:val="-6"/>
          <w:rtl/>
        </w:rPr>
        <w:t xml:space="preserve"> </w:t>
      </w:r>
      <w:r w:rsidRPr="00C76497">
        <w:rPr>
          <w:rFonts w:hint="cs"/>
          <w:spacing w:val="-6"/>
          <w:rtl/>
        </w:rPr>
        <w:t>מספק</w:t>
      </w:r>
      <w:r>
        <w:rPr>
          <w:rFonts w:hint="cs"/>
          <w:spacing w:val="-6"/>
          <w:rtl/>
        </w:rPr>
        <w:t xml:space="preserve"> </w:t>
      </w:r>
      <w:r w:rsidRPr="00C76497">
        <w:rPr>
          <w:rFonts w:hint="cs"/>
          <w:spacing w:val="-6"/>
          <w:rtl/>
        </w:rPr>
        <w:t>הטבע</w:t>
      </w:r>
      <w:r>
        <w:rPr>
          <w:rFonts w:hint="cs"/>
          <w:spacing w:val="-6"/>
          <w:rtl/>
        </w:rPr>
        <w:t xml:space="preserve"> </w:t>
      </w:r>
      <w:r w:rsidRPr="00C76497">
        <w:rPr>
          <w:rFonts w:hint="cs"/>
          <w:spacing w:val="-6"/>
          <w:rtl/>
        </w:rPr>
        <w:t>בלא</w:t>
      </w:r>
      <w:r>
        <w:rPr>
          <w:rFonts w:hint="cs"/>
          <w:spacing w:val="-6"/>
          <w:rtl/>
        </w:rPr>
        <w:t>-מחיר. כ</w:t>
      </w:r>
      <w:r w:rsidRPr="00C76497">
        <w:rPr>
          <w:rFonts w:hint="cs"/>
          <w:spacing w:val="-6"/>
          <w:rtl/>
        </w:rPr>
        <w:t>ך</w:t>
      </w:r>
      <w:r>
        <w:rPr>
          <w:rFonts w:hint="cs"/>
          <w:spacing w:val="-6"/>
          <w:rtl/>
        </w:rPr>
        <w:t xml:space="preserve"> </w:t>
      </w:r>
      <w:r w:rsidRPr="00C76497">
        <w:rPr>
          <w:rFonts w:hint="cs"/>
          <w:spacing w:val="-6"/>
          <w:rtl/>
        </w:rPr>
        <w:t>מאז</w:t>
      </w:r>
      <w:r>
        <w:rPr>
          <w:rFonts w:hint="cs"/>
          <w:spacing w:val="-6"/>
          <w:rtl/>
        </w:rPr>
        <w:t xml:space="preserve"> </w:t>
      </w:r>
      <w:r w:rsidRPr="00C76497">
        <w:rPr>
          <w:rFonts w:hint="cs"/>
          <w:spacing w:val="-6"/>
          <w:rtl/>
        </w:rPr>
        <w:t>ומעולם</w:t>
      </w:r>
      <w:r>
        <w:rPr>
          <w:rFonts w:hint="cs"/>
          <w:spacing w:val="-6"/>
          <w:rtl/>
        </w:rPr>
        <w:t xml:space="preserve">, </w:t>
      </w:r>
      <w:r w:rsidRPr="00C76497">
        <w:rPr>
          <w:rFonts w:hint="cs"/>
          <w:spacing w:val="-6"/>
          <w:rtl/>
        </w:rPr>
        <w:t>וכך</w:t>
      </w:r>
      <w:r>
        <w:rPr>
          <w:rFonts w:hint="cs"/>
          <w:spacing w:val="-6"/>
          <w:rtl/>
        </w:rPr>
        <w:t xml:space="preserve"> </w:t>
      </w:r>
      <w:r w:rsidRPr="00C76497">
        <w:rPr>
          <w:rFonts w:hint="cs"/>
          <w:spacing w:val="-6"/>
          <w:rtl/>
        </w:rPr>
        <w:t>כיום</w:t>
      </w:r>
      <w:r>
        <w:rPr>
          <w:rFonts w:hint="cs"/>
          <w:spacing w:val="-6"/>
          <w:rtl/>
        </w:rPr>
        <w:t xml:space="preserve">"); </w:t>
      </w:r>
      <w:r w:rsidRPr="00A162D9">
        <w:rPr>
          <w:spacing w:val="-6"/>
          <w:rtl/>
        </w:rPr>
        <w:t xml:space="preserve">ע"א 9535/06 </w:t>
      </w:r>
      <w:r w:rsidRPr="00A162D9">
        <w:rPr>
          <w:b/>
          <w:bCs/>
          <w:spacing w:val="-6"/>
          <w:rtl/>
        </w:rPr>
        <w:t>אבו מסאעד נ' נציב המים</w:t>
      </w:r>
      <w:r w:rsidRPr="00A162D9">
        <w:rPr>
          <w:spacing w:val="-6"/>
          <w:rtl/>
        </w:rPr>
        <w:t xml:space="preserve"> </w:t>
      </w:r>
      <w:r>
        <w:rPr>
          <w:rFonts w:hint="cs"/>
          <w:spacing w:val="-6"/>
          <w:rtl/>
        </w:rPr>
        <w:t>(פורסם ב'נבו') ("</w:t>
      </w:r>
      <w:r w:rsidRPr="00A162D9">
        <w:rPr>
          <w:spacing w:val="-6"/>
          <w:rtl/>
        </w:rPr>
        <w:t>כבוד האדם הוא מושג מורכב</w:t>
      </w:r>
      <w:r>
        <w:rPr>
          <w:rFonts w:hint="cs"/>
          <w:spacing w:val="-6"/>
          <w:rtl/>
        </w:rPr>
        <w:t>...</w:t>
      </w:r>
      <w:r w:rsidRPr="00A162D9">
        <w:rPr>
          <w:spacing w:val="-6"/>
          <w:rtl/>
        </w:rPr>
        <w:t xml:space="preserve"> הפגיעה בכבוד האדם עשויה להתבטא בהשפלה נפשית ובביזוי, ועשויה היא להתבטא בשלילת צרכים פיסיים-קיומיים שבלעדיהם אין אדם יכול לקיים חיים בכבוד. טול מאדם את קורת הגג, המזון, המים, והטיפול הרפואי הבסיסי, ונטלת ממנו את יכולתו להתקיים בכבוד, ולהגשים את הווייתו כאדם"</w:t>
      </w:r>
      <w:r>
        <w:rPr>
          <w:rFonts w:hint="cs"/>
          <w:spacing w:val="-6"/>
          <w:rtl/>
        </w:rPr>
        <w:t>).</w:t>
      </w:r>
    </w:p>
  </w:footnote>
  <w:footnote w:id="2">
    <w:p w:rsidR="004A60D7" w:rsidRDefault="004A60D7" w:rsidP="004A60D7">
      <w:pPr>
        <w:pStyle w:val="a3"/>
        <w:rPr>
          <w:rtl/>
        </w:rPr>
      </w:pPr>
      <w:r>
        <w:rPr>
          <w:rStyle w:val="a5"/>
        </w:rPr>
        <w:footnoteRef/>
      </w:r>
      <w:r>
        <w:rPr>
          <w:rtl/>
        </w:rPr>
        <w:t xml:space="preserve"> </w:t>
      </w:r>
      <w:r w:rsidRPr="00360489">
        <w:rPr>
          <w:rFonts w:hint="cs"/>
          <w:b/>
          <w:bCs/>
          <w:rtl/>
        </w:rPr>
        <w:t xml:space="preserve">תוספתא </w:t>
      </w:r>
      <w:r>
        <w:rPr>
          <w:rFonts w:hint="cs"/>
          <w:rtl/>
        </w:rPr>
        <w:t>(ליברמן) בבא קמא ו, טו.</w:t>
      </w:r>
    </w:p>
  </w:footnote>
  <w:footnote w:id="3">
    <w:p w:rsidR="004A60D7" w:rsidRDefault="004A60D7" w:rsidP="004A60D7">
      <w:pPr>
        <w:pStyle w:val="a3"/>
      </w:pPr>
      <w:r>
        <w:rPr>
          <w:rStyle w:val="a5"/>
        </w:rPr>
        <w:footnoteRef/>
      </w:r>
      <w:r>
        <w:rPr>
          <w:rtl/>
        </w:rPr>
        <w:t xml:space="preserve"> </w:t>
      </w:r>
      <w:r>
        <w:rPr>
          <w:rFonts w:hint="cs"/>
          <w:rtl/>
        </w:rPr>
        <w:t xml:space="preserve">רמב"ם, </w:t>
      </w:r>
      <w:r w:rsidRPr="00360489">
        <w:rPr>
          <w:rFonts w:hint="cs"/>
          <w:b/>
          <w:bCs/>
          <w:rtl/>
        </w:rPr>
        <w:t>משנה תורה</w:t>
      </w:r>
      <w:r>
        <w:rPr>
          <w:rFonts w:hint="cs"/>
          <w:rtl/>
        </w:rPr>
        <w:t xml:space="preserve"> נזקי ממון ה, ג.</w:t>
      </w:r>
    </w:p>
  </w:footnote>
  <w:footnote w:id="4">
    <w:p w:rsidR="004A60D7" w:rsidRDefault="004A60D7" w:rsidP="004A60D7">
      <w:pPr>
        <w:pStyle w:val="a3"/>
        <w:rPr>
          <w:rtl/>
        </w:rPr>
      </w:pPr>
      <w:r>
        <w:rPr>
          <w:rStyle w:val="a5"/>
        </w:rPr>
        <w:footnoteRef/>
      </w:r>
      <w:r>
        <w:rPr>
          <w:rtl/>
        </w:rPr>
        <w:t xml:space="preserve"> </w:t>
      </w:r>
      <w:r>
        <w:rPr>
          <w:rFonts w:hint="cs"/>
          <w:rtl/>
        </w:rPr>
        <w:t xml:space="preserve">ראו, נחום רקובר, </w:t>
      </w:r>
      <w:r w:rsidRPr="00360489">
        <w:rPr>
          <w:rFonts w:hint="cs"/>
          <w:b/>
          <w:bCs/>
          <w:rtl/>
        </w:rPr>
        <w:t>איכות הסביבה: היבטים רעיוניים ומשפטיים במקורות היהדות</w:t>
      </w:r>
      <w:r>
        <w:rPr>
          <w:rFonts w:hint="cs"/>
          <w:rtl/>
        </w:rPr>
        <w:t xml:space="preserve"> מורשת המשפט בישראל, ירושלים תשנ"ד, עמ' 72.</w:t>
      </w:r>
    </w:p>
  </w:footnote>
  <w:footnote w:id="5">
    <w:p w:rsidR="00367195" w:rsidRDefault="00367195" w:rsidP="00367195">
      <w:pPr>
        <w:pStyle w:val="a3"/>
      </w:pPr>
      <w:r>
        <w:rPr>
          <w:rStyle w:val="a5"/>
        </w:rPr>
        <w:footnoteRef/>
      </w:r>
      <w:r>
        <w:rPr>
          <w:rtl/>
        </w:rPr>
        <w:t xml:space="preserve"> </w:t>
      </w:r>
      <w:r w:rsidRPr="00360489">
        <w:rPr>
          <w:rFonts w:hint="cs"/>
          <w:b/>
          <w:bCs/>
          <w:rtl/>
        </w:rPr>
        <w:t>תלמוד בבלי</w:t>
      </w:r>
      <w:r>
        <w:rPr>
          <w:rFonts w:hint="cs"/>
          <w:rtl/>
        </w:rPr>
        <w:t xml:space="preserve"> בבא קמא פא,א.</w:t>
      </w:r>
    </w:p>
  </w:footnote>
  <w:footnote w:id="6">
    <w:p w:rsidR="003A2913" w:rsidRDefault="003A2913">
      <w:pPr>
        <w:pStyle w:val="a3"/>
        <w:rPr>
          <w:rtl/>
        </w:rPr>
      </w:pPr>
      <w:r>
        <w:rPr>
          <w:rStyle w:val="a5"/>
        </w:rPr>
        <w:footnoteRef/>
      </w:r>
      <w:r>
        <w:rPr>
          <w:rtl/>
        </w:rPr>
        <w:t xml:space="preserve"> </w:t>
      </w:r>
      <w:r w:rsidR="007B44F4">
        <w:rPr>
          <w:rFonts w:hint="cs"/>
          <w:rtl/>
        </w:rPr>
        <w:tab/>
      </w:r>
      <w:r w:rsidRPr="007B44F4">
        <w:rPr>
          <w:rFonts w:hint="cs"/>
          <w:b/>
          <w:bCs/>
          <w:rtl/>
        </w:rPr>
        <w:t>תלמוד בבלי</w:t>
      </w:r>
      <w:r>
        <w:rPr>
          <w:rFonts w:hint="cs"/>
          <w:rtl/>
        </w:rPr>
        <w:t xml:space="preserve"> עבודה זרה מז,א.</w:t>
      </w:r>
    </w:p>
  </w:footnote>
  <w:footnote w:id="7">
    <w:p w:rsidR="00E84953" w:rsidRDefault="00E84953" w:rsidP="00E84953">
      <w:pPr>
        <w:pStyle w:val="a3"/>
      </w:pPr>
      <w:r>
        <w:rPr>
          <w:rStyle w:val="a5"/>
        </w:rPr>
        <w:footnoteRef/>
      </w:r>
      <w:r>
        <w:rPr>
          <w:rtl/>
        </w:rPr>
        <w:t xml:space="preserve"> </w:t>
      </w:r>
      <w:r w:rsidR="0073072C">
        <w:rPr>
          <w:rFonts w:hint="cs"/>
          <w:b/>
          <w:bCs/>
          <w:rtl/>
        </w:rPr>
        <w:tab/>
      </w:r>
      <w:r w:rsidRPr="00360489">
        <w:rPr>
          <w:rFonts w:hint="cs"/>
          <w:b/>
          <w:bCs/>
          <w:rtl/>
        </w:rPr>
        <w:t>תוספות</w:t>
      </w:r>
      <w:r>
        <w:rPr>
          <w:rFonts w:hint="cs"/>
          <w:rtl/>
        </w:rPr>
        <w:t xml:space="preserve"> בבא קמא שם, ד"ה ומעין.</w:t>
      </w:r>
    </w:p>
  </w:footnote>
  <w:footnote w:id="8">
    <w:p w:rsidR="003A2913" w:rsidRDefault="003A2913">
      <w:pPr>
        <w:pStyle w:val="a3"/>
      </w:pPr>
      <w:r>
        <w:rPr>
          <w:rStyle w:val="a5"/>
        </w:rPr>
        <w:footnoteRef/>
      </w:r>
      <w:r>
        <w:rPr>
          <w:rtl/>
        </w:rPr>
        <w:t xml:space="preserve"> </w:t>
      </w:r>
      <w:r w:rsidR="0073072C">
        <w:rPr>
          <w:rFonts w:hint="cs"/>
          <w:rtl/>
        </w:rPr>
        <w:tab/>
      </w:r>
      <w:r>
        <w:rPr>
          <w:rFonts w:hint="cs"/>
          <w:rtl/>
        </w:rPr>
        <w:t xml:space="preserve">אמנם, יש להודות שהבחנתם של התוספות אינה מתיישבת עם </w:t>
      </w:r>
      <w:r w:rsidR="0073072C">
        <w:rPr>
          <w:rFonts w:hint="cs"/>
          <w:rtl/>
        </w:rPr>
        <w:t>דברי התלמוד במסכת עבודה זרה, כפשוטם.</w:t>
      </w:r>
    </w:p>
  </w:footnote>
  <w:footnote w:id="9">
    <w:p w:rsidR="0036102D" w:rsidRDefault="0036102D">
      <w:pPr>
        <w:pStyle w:val="a3"/>
      </w:pPr>
      <w:r>
        <w:rPr>
          <w:rStyle w:val="a5"/>
        </w:rPr>
        <w:footnoteRef/>
      </w:r>
      <w:r>
        <w:rPr>
          <w:rtl/>
        </w:rPr>
        <w:t xml:space="preserve"> </w:t>
      </w:r>
      <w:r w:rsidR="00C92958">
        <w:rPr>
          <w:rFonts w:hint="cs"/>
          <w:rtl/>
        </w:rPr>
        <w:tab/>
      </w:r>
      <w:r w:rsidRPr="00C92958">
        <w:rPr>
          <w:rFonts w:hint="cs"/>
          <w:b/>
          <w:bCs/>
          <w:rtl/>
        </w:rPr>
        <w:t>חידושי הרשב"א</w:t>
      </w:r>
      <w:r>
        <w:rPr>
          <w:rFonts w:hint="cs"/>
          <w:rtl/>
        </w:rPr>
        <w:t xml:space="preserve"> עבודה זרה מז,א (עמ' צג בהוצאת מוסד הרב קוק)</w:t>
      </w:r>
      <w:r w:rsidR="00C92958">
        <w:rPr>
          <w:rFonts w:hint="cs"/>
          <w:rtl/>
        </w:rPr>
        <w:t xml:space="preserve"> וכן הוא ב</w:t>
      </w:r>
      <w:r w:rsidR="00C92958" w:rsidRPr="00C92958">
        <w:rPr>
          <w:rFonts w:hint="cs"/>
          <w:b/>
          <w:bCs/>
          <w:rtl/>
        </w:rPr>
        <w:t>תוספות הרא"ש</w:t>
      </w:r>
      <w:r w:rsidR="00C92958">
        <w:rPr>
          <w:rFonts w:hint="cs"/>
          <w:rtl/>
        </w:rPr>
        <w:t xml:space="preserve"> עבודה זרה, שם.</w:t>
      </w:r>
    </w:p>
  </w:footnote>
  <w:footnote w:id="10">
    <w:p w:rsidR="004A60D7" w:rsidRDefault="004A60D7" w:rsidP="004A60D7">
      <w:pPr>
        <w:pStyle w:val="a3"/>
      </w:pPr>
      <w:r>
        <w:rPr>
          <w:rStyle w:val="a5"/>
        </w:rPr>
        <w:footnoteRef/>
      </w:r>
      <w:r>
        <w:rPr>
          <w:rtl/>
        </w:rPr>
        <w:t xml:space="preserve"> </w:t>
      </w:r>
      <w:r w:rsidR="0073072C">
        <w:rPr>
          <w:rFonts w:hint="cs"/>
          <w:b/>
          <w:bCs/>
          <w:rtl/>
        </w:rPr>
        <w:tab/>
      </w:r>
      <w:r w:rsidRPr="00360489">
        <w:rPr>
          <w:rFonts w:hint="cs"/>
          <w:b/>
          <w:bCs/>
          <w:rtl/>
        </w:rPr>
        <w:t>משנה</w:t>
      </w:r>
      <w:r>
        <w:rPr>
          <w:rFonts w:hint="cs"/>
          <w:rtl/>
        </w:rPr>
        <w:t xml:space="preserve"> תורה שכנים ו, ג.</w:t>
      </w:r>
    </w:p>
  </w:footnote>
  <w:footnote w:id="11">
    <w:p w:rsidR="004A60D7" w:rsidRDefault="004A60D7" w:rsidP="004A60D7">
      <w:pPr>
        <w:pStyle w:val="a3"/>
        <w:rPr>
          <w:rtl/>
        </w:rPr>
      </w:pPr>
      <w:r>
        <w:rPr>
          <w:rStyle w:val="a5"/>
        </w:rPr>
        <w:footnoteRef/>
      </w:r>
      <w:r>
        <w:rPr>
          <w:rtl/>
        </w:rPr>
        <w:t xml:space="preserve"> </w:t>
      </w:r>
      <w:r w:rsidR="0073072C">
        <w:rPr>
          <w:rFonts w:hint="cs"/>
          <w:rtl/>
        </w:rPr>
        <w:tab/>
      </w:r>
      <w:r>
        <w:rPr>
          <w:rFonts w:hint="cs"/>
          <w:rtl/>
        </w:rPr>
        <w:t xml:space="preserve">ראו: </w:t>
      </w:r>
      <w:r w:rsidRPr="00360489">
        <w:rPr>
          <w:rFonts w:hint="cs"/>
          <w:b/>
          <w:bCs/>
          <w:rtl/>
        </w:rPr>
        <w:t>תלמוד בבלי</w:t>
      </w:r>
      <w:r>
        <w:rPr>
          <w:rFonts w:hint="cs"/>
          <w:rtl/>
        </w:rPr>
        <w:t xml:space="preserve"> בבא בתרא ח,א; </w:t>
      </w:r>
      <w:r w:rsidRPr="00360489">
        <w:rPr>
          <w:rFonts w:hint="cs"/>
          <w:b/>
          <w:bCs/>
          <w:rtl/>
        </w:rPr>
        <w:t>שולחן ערוך</w:t>
      </w:r>
      <w:r>
        <w:rPr>
          <w:rFonts w:hint="cs"/>
          <w:rtl/>
        </w:rPr>
        <w:t xml:space="preserve"> חו"מ קסג, ד.</w:t>
      </w:r>
    </w:p>
  </w:footnote>
  <w:footnote w:id="12">
    <w:p w:rsidR="004A60D7" w:rsidRDefault="004A60D7" w:rsidP="004A60D7">
      <w:pPr>
        <w:pStyle w:val="a3"/>
      </w:pPr>
      <w:r>
        <w:rPr>
          <w:rStyle w:val="a5"/>
        </w:rPr>
        <w:footnoteRef/>
      </w:r>
      <w:r>
        <w:rPr>
          <w:rtl/>
        </w:rPr>
        <w:t xml:space="preserve"> </w:t>
      </w:r>
      <w:r w:rsidR="0073072C">
        <w:rPr>
          <w:rFonts w:hint="cs"/>
          <w:b/>
          <w:bCs/>
          <w:rtl/>
        </w:rPr>
        <w:tab/>
      </w:r>
      <w:r w:rsidRPr="00360489">
        <w:rPr>
          <w:rFonts w:hint="cs"/>
          <w:b/>
          <w:bCs/>
          <w:rtl/>
        </w:rPr>
        <w:t>שולחן ערוך</w:t>
      </w:r>
      <w:r>
        <w:rPr>
          <w:rFonts w:hint="cs"/>
          <w:rtl/>
        </w:rPr>
        <w:t xml:space="preserve"> שם.</w:t>
      </w:r>
    </w:p>
  </w:footnote>
  <w:footnote w:id="13">
    <w:p w:rsidR="00170A73" w:rsidRDefault="00170A73" w:rsidP="00170A73">
      <w:pPr>
        <w:pStyle w:val="a3"/>
        <w:rPr>
          <w:rtl/>
        </w:rPr>
      </w:pPr>
      <w:r>
        <w:rPr>
          <w:rStyle w:val="a5"/>
        </w:rPr>
        <w:footnoteRef/>
      </w:r>
      <w:r>
        <w:rPr>
          <w:rtl/>
        </w:rPr>
        <w:t xml:space="preserve"> </w:t>
      </w:r>
      <w:r>
        <w:rPr>
          <w:rFonts w:hint="cs"/>
          <w:rtl/>
        </w:rPr>
        <w:t xml:space="preserve">ראו: </w:t>
      </w:r>
      <w:r w:rsidRPr="00360489">
        <w:rPr>
          <w:rFonts w:hint="cs"/>
          <w:b/>
          <w:bCs/>
          <w:rtl/>
        </w:rPr>
        <w:t>תלמוד בבלי</w:t>
      </w:r>
      <w:r>
        <w:rPr>
          <w:rFonts w:hint="cs"/>
          <w:rtl/>
        </w:rPr>
        <w:t xml:space="preserve"> בבא בתרא שם; </w:t>
      </w:r>
      <w:r w:rsidRPr="00360489">
        <w:rPr>
          <w:rFonts w:hint="cs"/>
          <w:b/>
          <w:bCs/>
          <w:rtl/>
        </w:rPr>
        <w:t>שו"ת ציץ אליעזר</w:t>
      </w:r>
      <w:r>
        <w:rPr>
          <w:rFonts w:hint="cs"/>
          <w:rtl/>
        </w:rPr>
        <w:t xml:space="preserve"> ב, כה.</w:t>
      </w:r>
    </w:p>
  </w:footnote>
  <w:footnote w:id="14">
    <w:p w:rsidR="004A60D7" w:rsidRDefault="004A60D7" w:rsidP="0073072C">
      <w:pPr>
        <w:pStyle w:val="a3"/>
        <w:rPr>
          <w:rtl/>
        </w:rPr>
      </w:pPr>
      <w:r>
        <w:rPr>
          <w:rStyle w:val="a5"/>
        </w:rPr>
        <w:footnoteRef/>
      </w:r>
      <w:r>
        <w:rPr>
          <w:rtl/>
        </w:rPr>
        <w:t xml:space="preserve"> </w:t>
      </w:r>
      <w:r w:rsidR="0073072C">
        <w:rPr>
          <w:rFonts w:hint="cs"/>
          <w:rtl/>
        </w:rPr>
        <w:tab/>
      </w:r>
      <w:r>
        <w:rPr>
          <w:rFonts w:hint="cs"/>
          <w:rtl/>
        </w:rPr>
        <w:t>שם.</w:t>
      </w:r>
    </w:p>
  </w:footnote>
  <w:footnote w:id="15">
    <w:p w:rsidR="004A60D7" w:rsidRDefault="004A60D7" w:rsidP="004A60D7">
      <w:pPr>
        <w:pStyle w:val="a3"/>
        <w:rPr>
          <w:rtl/>
        </w:rPr>
      </w:pPr>
      <w:r>
        <w:rPr>
          <w:rStyle w:val="a5"/>
        </w:rPr>
        <w:footnoteRef/>
      </w:r>
      <w:r>
        <w:rPr>
          <w:rtl/>
        </w:rPr>
        <w:t xml:space="preserve"> </w:t>
      </w:r>
      <w:r w:rsidRPr="00360489">
        <w:rPr>
          <w:rFonts w:hint="cs"/>
          <w:b/>
          <w:bCs/>
          <w:rtl/>
        </w:rPr>
        <w:t>תלמוד בבלי</w:t>
      </w:r>
      <w:r>
        <w:rPr>
          <w:rFonts w:hint="cs"/>
          <w:rtl/>
        </w:rPr>
        <w:t xml:space="preserve"> שם, ע"פ פירוש רש"י שם ד"ה כריא פתיא; </w:t>
      </w:r>
      <w:r w:rsidRPr="00360489">
        <w:rPr>
          <w:rFonts w:hint="cs"/>
          <w:b/>
          <w:bCs/>
          <w:rtl/>
        </w:rPr>
        <w:t>שולחן ערוך</w:t>
      </w:r>
      <w:r>
        <w:rPr>
          <w:rFonts w:hint="cs"/>
          <w:rtl/>
        </w:rPr>
        <w:t xml:space="preserve"> יו"ד רמג, ב.</w:t>
      </w:r>
    </w:p>
  </w:footnote>
  <w:footnote w:id="16">
    <w:p w:rsidR="004A60D7" w:rsidRDefault="004A60D7" w:rsidP="004A60D7">
      <w:pPr>
        <w:pStyle w:val="a3"/>
      </w:pPr>
      <w:r>
        <w:rPr>
          <w:rStyle w:val="a5"/>
        </w:rPr>
        <w:footnoteRef/>
      </w:r>
      <w:r>
        <w:rPr>
          <w:rtl/>
        </w:rPr>
        <w:t xml:space="preserve"> </w:t>
      </w:r>
      <w:r w:rsidRPr="00360489">
        <w:rPr>
          <w:rFonts w:hint="cs"/>
          <w:b/>
          <w:bCs/>
          <w:rtl/>
        </w:rPr>
        <w:t>רש"י</w:t>
      </w:r>
      <w:r>
        <w:rPr>
          <w:rFonts w:hint="cs"/>
          <w:rtl/>
        </w:rPr>
        <w:t xml:space="preserve"> בבא בתרא ח,א ד"ה אפילו מרבנן, אבל השוו ל</w:t>
      </w:r>
      <w:r w:rsidRPr="00360489">
        <w:rPr>
          <w:rFonts w:hint="cs"/>
          <w:b/>
          <w:bCs/>
          <w:rtl/>
        </w:rPr>
        <w:t>תוספות</w:t>
      </w:r>
      <w:r>
        <w:rPr>
          <w:rFonts w:hint="cs"/>
          <w:rtl/>
        </w:rPr>
        <w:t xml:space="preserve"> בבא בתרא שם ד"ה כריא פתיא, שמפרש שגבו מתלמידי חכמים עבור כל הוצאה ציבורית הקשורה לתיקון רחובות העיר, וראו גם, </w:t>
      </w:r>
      <w:r w:rsidRPr="008B5BE2">
        <w:rPr>
          <w:rFonts w:hint="cs"/>
          <w:b/>
          <w:bCs/>
          <w:rtl/>
        </w:rPr>
        <w:t>שו"ת ציץ אליעזר</w:t>
      </w:r>
      <w:r>
        <w:rPr>
          <w:rFonts w:hint="cs"/>
          <w:rtl/>
        </w:rPr>
        <w:t xml:space="preserve"> שם</w:t>
      </w:r>
    </w:p>
  </w:footnote>
  <w:footnote w:id="17">
    <w:p w:rsidR="004A60D7" w:rsidRDefault="004A60D7" w:rsidP="004A60D7">
      <w:pPr>
        <w:pStyle w:val="a3"/>
        <w:rPr>
          <w:rtl/>
        </w:rPr>
      </w:pPr>
      <w:r>
        <w:rPr>
          <w:rStyle w:val="a5"/>
        </w:rPr>
        <w:footnoteRef/>
      </w:r>
      <w:r>
        <w:rPr>
          <w:rtl/>
        </w:rPr>
        <w:t xml:space="preserve"> </w:t>
      </w:r>
      <w:r w:rsidRPr="00360489">
        <w:rPr>
          <w:rFonts w:hint="cs"/>
          <w:b/>
          <w:bCs/>
          <w:rtl/>
        </w:rPr>
        <w:t>תרומת הדשן</w:t>
      </w:r>
      <w:r>
        <w:rPr>
          <w:rFonts w:hint="cs"/>
          <w:rtl/>
        </w:rPr>
        <w:t xml:space="preserve"> שמב (ההדגשה אינה במקור). וראו </w:t>
      </w:r>
      <w:r w:rsidRPr="002D6CA1">
        <w:rPr>
          <w:b/>
          <w:bCs/>
          <w:rtl/>
        </w:rPr>
        <w:t>שו"ת צמח צדק (קדמון)</w:t>
      </w:r>
      <w:r w:rsidRPr="00684005">
        <w:rPr>
          <w:rtl/>
        </w:rPr>
        <w:t xml:space="preserve"> לד</w:t>
      </w:r>
      <w:r>
        <w:rPr>
          <w:rFonts w:hint="cs"/>
          <w:rtl/>
        </w:rPr>
        <w:t>, שם מציע הרב מנחם מנדל קרוכמאל, מגדולי הפוסקים בפולין במאה ה-17, מבחן משוכלל לקביעת גובה ההשתתפות של האזרח בהוצאות הדרושות לשם הפקת המים ואספקתם. לפי מבחן זה, עבור מים לשתייה ייקבע מחיר אחיד לכל נפש, משום שמים לשתייה הם בגדר "</w:t>
      </w:r>
      <w:r>
        <w:rPr>
          <w:rtl/>
        </w:rPr>
        <w:t>חיי נפש</w:t>
      </w:r>
      <w:r>
        <w:rPr>
          <w:rFonts w:hint="cs"/>
          <w:rtl/>
        </w:rPr>
        <w:t>", שלגביהם</w:t>
      </w:r>
      <w:r>
        <w:rPr>
          <w:rtl/>
        </w:rPr>
        <w:t xml:space="preserve"> </w:t>
      </w:r>
      <w:r>
        <w:rPr>
          <w:rFonts w:hint="cs"/>
          <w:rtl/>
        </w:rPr>
        <w:t>"</w:t>
      </w:r>
      <w:r>
        <w:rPr>
          <w:rtl/>
        </w:rPr>
        <w:t>אין העשיר צריך יותר מעני</w:t>
      </w:r>
      <w:r>
        <w:rPr>
          <w:rFonts w:hint="cs"/>
          <w:rtl/>
        </w:rPr>
        <w:t xml:space="preserve">". עבור מים לצורך ניקיון הבית וכליו וכן לטובת כיבוי שריפות, גובה התשלום ייקבע בהתאם להכנסה החודשית של משק הבית ("לפי ממון") </w:t>
      </w:r>
      <w:r w:rsidRPr="00D879A2">
        <w:rPr>
          <w:rtl/>
        </w:rPr>
        <w:t>משום ש"היא תועלת הממון דחיישינן לשריפת הבתים חס ושלום... והעשירים יש להם לחוש יותר, שבתיהם מ</w:t>
      </w:r>
      <w:r>
        <w:rPr>
          <w:rtl/>
        </w:rPr>
        <w:t>לאים כל טוב, מה שאין כן עניים"</w:t>
      </w:r>
      <w:r>
        <w:rPr>
          <w:rFonts w:hint="cs"/>
          <w:rtl/>
        </w:rPr>
        <w:t>, ובהתאם לצורך של הבית במים ("לפי בתים". למשל, בהתאם לשטח הבית הדורש ניקיון), משום ש"</w:t>
      </w:r>
      <w:r>
        <w:rPr>
          <w:rtl/>
        </w:rPr>
        <w:t>בתים של העשירים ש</w:t>
      </w:r>
      <w:r>
        <w:rPr>
          <w:rFonts w:hint="cs"/>
          <w:rtl/>
        </w:rPr>
        <w:t>ו</w:t>
      </w:r>
      <w:r>
        <w:rPr>
          <w:rtl/>
        </w:rPr>
        <w:t>וים יותר משל עניים</w:t>
      </w:r>
      <w:r>
        <w:rPr>
          <w:rFonts w:hint="cs"/>
          <w:rtl/>
        </w:rPr>
        <w:t>". לפיכך, בכל הנוגע להוצאות להפקת ואספקת מים שלא לשם שתיה, מוצע המבחן של "</w:t>
      </w:r>
      <w:r>
        <w:rPr>
          <w:rtl/>
        </w:rPr>
        <w:t>שלשה חלקים לפי הממון</w:t>
      </w:r>
      <w:r>
        <w:rPr>
          <w:rFonts w:hint="cs"/>
          <w:rtl/>
        </w:rPr>
        <w:t xml:space="preserve"> (=הכנסה)</w:t>
      </w:r>
      <w:r>
        <w:rPr>
          <w:rtl/>
        </w:rPr>
        <w:t>. וחלק רביעי לפי הבתים</w:t>
      </w:r>
      <w:r>
        <w:rPr>
          <w:rFonts w:hint="cs"/>
          <w:rtl/>
        </w:rPr>
        <w:t xml:space="preserve">". </w:t>
      </w:r>
    </w:p>
  </w:footnote>
  <w:footnote w:id="18">
    <w:p w:rsidR="000E7768" w:rsidRDefault="000E7768" w:rsidP="008B5BE2">
      <w:pPr>
        <w:pStyle w:val="a3"/>
        <w:rPr>
          <w:rtl/>
        </w:rPr>
      </w:pPr>
      <w:r>
        <w:rPr>
          <w:rStyle w:val="a5"/>
        </w:rPr>
        <w:footnoteRef/>
      </w:r>
      <w:r>
        <w:rPr>
          <w:rtl/>
        </w:rPr>
        <w:t xml:space="preserve"> </w:t>
      </w:r>
      <w:r>
        <w:rPr>
          <w:rFonts w:hint="cs"/>
          <w:rtl/>
        </w:rPr>
        <w:tab/>
      </w:r>
      <w:r>
        <w:rPr>
          <w:rFonts w:hint="cs"/>
          <w:rtl/>
        </w:rPr>
        <w:t xml:space="preserve">התקנה מובאת על ידי פרופ' נחום רקובר מביא בספרו הנ"ל בהערה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Ref381281134 \h</w:instrText>
      </w:r>
      <w:r>
        <w:rPr>
          <w:rtl/>
        </w:rPr>
        <w:instrText xml:space="preserve"> </w:instrText>
      </w:r>
      <w:r>
        <w:rPr>
          <w:rtl/>
        </w:rPr>
      </w:r>
      <w:r>
        <w:rPr>
          <w:rtl/>
        </w:rPr>
        <w:fldChar w:fldCharType="separate"/>
      </w:r>
      <w:r>
        <w:rPr>
          <w:rtl/>
        </w:rPr>
        <w:t>4</w:t>
      </w:r>
      <w:r>
        <w:rPr>
          <w:rtl/>
        </w:rPr>
        <w:fldChar w:fldCharType="end"/>
      </w:r>
      <w:r w:rsidR="008B5BE2">
        <w:rPr>
          <w:rFonts w:hint="cs"/>
          <w:rtl/>
        </w:rPr>
        <w:t>, עמ' 73.</w:t>
      </w:r>
    </w:p>
  </w:footnote>
  <w:footnote w:id="19">
    <w:p w:rsidR="00E56928" w:rsidRDefault="00E56928" w:rsidP="00E56928">
      <w:pPr>
        <w:pStyle w:val="a3"/>
      </w:pPr>
      <w:r>
        <w:rPr>
          <w:rStyle w:val="a5"/>
        </w:rPr>
        <w:footnoteRef/>
      </w:r>
      <w:r>
        <w:rPr>
          <w:rtl/>
        </w:rPr>
        <w:t xml:space="preserve"> </w:t>
      </w:r>
      <w:r>
        <w:rPr>
          <w:rtl/>
        </w:rPr>
        <w:tab/>
      </w:r>
      <w:r w:rsidRPr="00E56928">
        <w:rPr>
          <w:b/>
          <w:bCs/>
          <w:rtl/>
        </w:rPr>
        <w:t>שולחן ערוך</w:t>
      </w:r>
      <w:r w:rsidRPr="00E56928">
        <w:rPr>
          <w:rtl/>
        </w:rPr>
        <w:t xml:space="preserve"> חו</w:t>
      </w:r>
      <w:r>
        <w:rPr>
          <w:rFonts w:hint="cs"/>
          <w:rtl/>
        </w:rPr>
        <w:t xml:space="preserve">"מ צז, כג. </w:t>
      </w:r>
      <w:r w:rsidRPr="00E56928">
        <w:rPr>
          <w:rtl/>
        </w:rPr>
        <w:t xml:space="preserve">לשאלה, האם מחייבים את החייב למקור את דירת מגוריו לשם פירעון החוב, או שמא אף הדירה נכללת בנכסים שאותם יש להשאיר בידי החייב, ראו דיון בתיק מס' 7010-35-1 (חיפה), </w:t>
      </w:r>
      <w:r w:rsidRPr="00E56928">
        <w:rPr>
          <w:b/>
          <w:bCs/>
          <w:rtl/>
        </w:rPr>
        <w:t>פלונים נ' אלמוני</w:t>
      </w:r>
      <w:r w:rsidRPr="00E56928">
        <w:rPr>
          <w:rtl/>
        </w:rPr>
        <w:t xml:space="preserve"> (פורסם ב 'נבו').</w:t>
      </w:r>
    </w:p>
  </w:footnote>
  <w:footnote w:id="20">
    <w:p w:rsidR="00E56928" w:rsidRPr="00E56928" w:rsidRDefault="00E56928" w:rsidP="00270A82">
      <w:pPr>
        <w:pStyle w:val="a3"/>
        <w:rPr>
          <w:rtl/>
        </w:rPr>
      </w:pPr>
      <w:r>
        <w:rPr>
          <w:rStyle w:val="a5"/>
        </w:rPr>
        <w:footnoteRef/>
      </w:r>
      <w:r>
        <w:rPr>
          <w:rtl/>
        </w:rPr>
        <w:t xml:space="preserve"> </w:t>
      </w:r>
      <w:r w:rsidR="00270A82">
        <w:rPr>
          <w:rtl/>
        </w:rPr>
        <w:tab/>
      </w:r>
      <w:r w:rsidR="00270A82">
        <w:rPr>
          <w:rFonts w:hint="cs"/>
          <w:rtl/>
        </w:rPr>
        <w:t>ל</w:t>
      </w:r>
      <w:r w:rsidRPr="00E56928">
        <w:rPr>
          <w:rtl/>
        </w:rPr>
        <w:t>דיון רחב יותר בגדרי ההלכה של "מסדרין לבעל חוב", ראו למשל</w:t>
      </w:r>
      <w:r w:rsidR="00270A82">
        <w:rPr>
          <w:rFonts w:hint="cs"/>
          <w:rtl/>
        </w:rPr>
        <w:t xml:space="preserve">: </w:t>
      </w:r>
      <w:r w:rsidR="00270A82">
        <w:rPr>
          <w:rtl/>
        </w:rPr>
        <w:t xml:space="preserve">שמואל שילה, </w:t>
      </w:r>
      <w:r w:rsidR="00270A82">
        <w:rPr>
          <w:rFonts w:hint="cs"/>
          <w:rtl/>
        </w:rPr>
        <w:t>"</w:t>
      </w:r>
      <w:r w:rsidR="00270A82">
        <w:rPr>
          <w:rtl/>
        </w:rPr>
        <w:t>נכסי החייב שאינם ניתנים לתפיסה במשפט העברי</w:t>
      </w:r>
      <w:r w:rsidR="00270A82">
        <w:rPr>
          <w:rFonts w:hint="cs"/>
          <w:rtl/>
        </w:rPr>
        <w:t>"</w:t>
      </w:r>
      <w:r w:rsidR="00270A82">
        <w:rPr>
          <w:rtl/>
        </w:rPr>
        <w:t xml:space="preserve"> </w:t>
      </w:r>
      <w:r w:rsidR="00270A82" w:rsidRPr="00270A82">
        <w:rPr>
          <w:b/>
          <w:bCs/>
          <w:rtl/>
        </w:rPr>
        <w:t>משפטים</w:t>
      </w:r>
      <w:r w:rsidR="00270A82">
        <w:rPr>
          <w:rtl/>
        </w:rPr>
        <w:t xml:space="preserve"> ב (תש"ל-תשל"א)</w:t>
      </w:r>
      <w:r w:rsidR="00270A82">
        <w:rPr>
          <w:rFonts w:hint="cs"/>
          <w:rtl/>
        </w:rPr>
        <w:t xml:space="preserve">, </w:t>
      </w:r>
      <w:r w:rsidR="00270A82">
        <w:rPr>
          <w:rtl/>
        </w:rPr>
        <w:t>67</w:t>
      </w:r>
      <w:r w:rsidR="00270A82">
        <w:rPr>
          <w:rFonts w:hint="cs"/>
          <w:rtl/>
        </w:rPr>
        <w:t xml:space="preserve">; </w:t>
      </w:r>
      <w:r w:rsidRPr="00E56928">
        <w:rPr>
          <w:rtl/>
        </w:rPr>
        <w:t>הרב הלל גפן, נייר עמדה בעניין "הסתייעות בהוצאה לפועל" משפטי ארץ, כסליו תשע"א, עמ' 30-16</w:t>
      </w:r>
      <w:r w:rsidR="00270A82">
        <w:rPr>
          <w:rFonts w:hint="cs"/>
          <w:rtl/>
        </w:rPr>
        <w:t xml:space="preserve">. (נייר העמדה זמין בכתובת </w:t>
      </w:r>
      <w:hyperlink r:id="rId1" w:history="1">
        <w:r w:rsidR="00270A82" w:rsidRPr="00464B37">
          <w:rPr>
            <w:rStyle w:val="Hyperlink"/>
          </w:rPr>
          <w:t>http://www.dintora.org/PirsumProduct.asp?ChildID=716</w:t>
        </w:r>
      </w:hyperlink>
      <w:r w:rsidR="00270A82">
        <w:rPr>
          <w:rFonts w:hint="cs"/>
          <w:rtl/>
        </w:rPr>
        <w:t xml:space="preserve"> כניסה אחרונה: 4 בספטמבר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42921"/>
    <w:multiLevelType w:val="hybridMultilevel"/>
    <w:tmpl w:val="73B6A2C0"/>
    <w:lvl w:ilvl="0" w:tplc="21A291EA">
      <w:start w:val="1"/>
      <w:numFmt w:val="hebrew1"/>
      <w:lvlText w:val="%1."/>
      <w:lvlJc w:val="center"/>
      <w:pPr>
        <w:ind w:left="720" w:hanging="360"/>
      </w:pPr>
      <w:rPr>
        <w:rFonts w:cs="David"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97D40"/>
    <w:multiLevelType w:val="multilevel"/>
    <w:tmpl w:val="74A8EF98"/>
    <w:lvl w:ilvl="0">
      <w:start w:val="1"/>
      <w:numFmt w:val="decimal"/>
      <w:pStyle w:val="1"/>
      <w:suff w:val="space"/>
      <w:lvlText w:val="%1."/>
      <w:lvlJc w:val="left"/>
      <w:pPr>
        <w:ind w:left="14" w:right="14" w:hanging="360"/>
      </w:pPr>
      <w:rPr>
        <w:rFonts w:hint="default"/>
      </w:rPr>
    </w:lvl>
    <w:lvl w:ilvl="1">
      <w:start w:val="1"/>
      <w:numFmt w:val="decimal"/>
      <w:pStyle w:val="11"/>
      <w:suff w:val="space"/>
      <w:lvlText w:val="%1.%2."/>
      <w:lvlJc w:val="left"/>
      <w:pPr>
        <w:ind w:left="357" w:right="11" w:hanging="357"/>
      </w:pPr>
      <w:rPr>
        <w:rFonts w:hint="default"/>
        <w:i w:val="0"/>
        <w:iCs w:val="0"/>
        <w:lang w:bidi="he-IL"/>
      </w:rPr>
    </w:lvl>
    <w:lvl w:ilvl="2">
      <w:start w:val="1"/>
      <w:numFmt w:val="decimal"/>
      <w:pStyle w:val="111"/>
      <w:suff w:val="space"/>
      <w:lvlText w:val="%1.%2.%3."/>
      <w:lvlJc w:val="left"/>
      <w:pPr>
        <w:ind w:left="357" w:right="11" w:hanging="357"/>
      </w:pPr>
      <w:rPr>
        <w:rFonts w:hint="default"/>
        <w:b/>
        <w:bCs/>
        <w:lang w:val="en-US"/>
      </w:rPr>
    </w:lvl>
    <w:lvl w:ilvl="3">
      <w:start w:val="1"/>
      <w:numFmt w:val="decimal"/>
      <w:lvlText w:val="%1.%2.%3.%4."/>
      <w:lvlJc w:val="left"/>
      <w:pPr>
        <w:tabs>
          <w:tab w:val="num" w:pos="2534"/>
        </w:tabs>
        <w:ind w:left="1382" w:right="1382" w:hanging="648"/>
      </w:pPr>
      <w:rPr>
        <w:rFonts w:hint="default"/>
      </w:rPr>
    </w:lvl>
    <w:lvl w:ilvl="4">
      <w:start w:val="1"/>
      <w:numFmt w:val="decimal"/>
      <w:lvlText w:val="%1.%2.%3.%4.%5."/>
      <w:lvlJc w:val="left"/>
      <w:pPr>
        <w:tabs>
          <w:tab w:val="num" w:pos="2174"/>
        </w:tabs>
        <w:ind w:left="1886" w:right="1886" w:hanging="792"/>
      </w:pPr>
      <w:rPr>
        <w:rFonts w:hint="default"/>
      </w:rPr>
    </w:lvl>
    <w:lvl w:ilvl="5">
      <w:start w:val="1"/>
      <w:numFmt w:val="decimal"/>
      <w:lvlText w:val="%1.%2.%3.%4.%5.%6."/>
      <w:lvlJc w:val="left"/>
      <w:pPr>
        <w:tabs>
          <w:tab w:val="num" w:pos="2534"/>
        </w:tabs>
        <w:ind w:left="2390" w:right="2390" w:hanging="936"/>
      </w:pPr>
      <w:rPr>
        <w:rFonts w:hint="default"/>
      </w:rPr>
    </w:lvl>
    <w:lvl w:ilvl="6">
      <w:start w:val="1"/>
      <w:numFmt w:val="decimal"/>
      <w:lvlText w:val="%1.%2.%3.%4.%5.%6.%7."/>
      <w:lvlJc w:val="left"/>
      <w:pPr>
        <w:tabs>
          <w:tab w:val="num" w:pos="3254"/>
        </w:tabs>
        <w:ind w:left="2894" w:right="2894" w:hanging="1080"/>
      </w:pPr>
      <w:rPr>
        <w:rFonts w:hint="default"/>
      </w:rPr>
    </w:lvl>
    <w:lvl w:ilvl="7">
      <w:start w:val="1"/>
      <w:numFmt w:val="decimal"/>
      <w:lvlText w:val="%1.%2.%3.%4.%5.%6.%7.%8."/>
      <w:lvlJc w:val="left"/>
      <w:pPr>
        <w:tabs>
          <w:tab w:val="num" w:pos="3614"/>
        </w:tabs>
        <w:ind w:left="3398" w:right="3398" w:hanging="1224"/>
      </w:pPr>
      <w:rPr>
        <w:rFonts w:hint="default"/>
      </w:rPr>
    </w:lvl>
    <w:lvl w:ilvl="8">
      <w:start w:val="1"/>
      <w:numFmt w:val="decimal"/>
      <w:lvlText w:val="%1.%2.%3.%4.%5.%6.%7.%8.%9."/>
      <w:lvlJc w:val="left"/>
      <w:pPr>
        <w:tabs>
          <w:tab w:val="num" w:pos="4334"/>
        </w:tabs>
        <w:ind w:left="3974" w:right="3974" w:hanging="1440"/>
      </w:pPr>
      <w:rPr>
        <w:rFonts w:hint="default"/>
      </w:rPr>
    </w:lvl>
  </w:abstractNum>
  <w:abstractNum w:abstractNumId="2" w15:restartNumberingAfterBreak="0">
    <w:nsid w:val="67597E84"/>
    <w:multiLevelType w:val="hybridMultilevel"/>
    <w:tmpl w:val="E10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D7"/>
    <w:rsid w:val="00007E3C"/>
    <w:rsid w:val="000E7768"/>
    <w:rsid w:val="0012225B"/>
    <w:rsid w:val="00157D9E"/>
    <w:rsid w:val="00165A5B"/>
    <w:rsid w:val="00170A73"/>
    <w:rsid w:val="001F784C"/>
    <w:rsid w:val="00221FF0"/>
    <w:rsid w:val="00235D23"/>
    <w:rsid w:val="00257FD7"/>
    <w:rsid w:val="00270A82"/>
    <w:rsid w:val="002741EF"/>
    <w:rsid w:val="002934F1"/>
    <w:rsid w:val="003163C6"/>
    <w:rsid w:val="0036102D"/>
    <w:rsid w:val="003647C6"/>
    <w:rsid w:val="00367195"/>
    <w:rsid w:val="003A2913"/>
    <w:rsid w:val="004A60D7"/>
    <w:rsid w:val="004B5965"/>
    <w:rsid w:val="004D1270"/>
    <w:rsid w:val="00595E86"/>
    <w:rsid w:val="005C495F"/>
    <w:rsid w:val="005D2678"/>
    <w:rsid w:val="005E5EA0"/>
    <w:rsid w:val="00610EEA"/>
    <w:rsid w:val="0066156A"/>
    <w:rsid w:val="00721A92"/>
    <w:rsid w:val="0073072C"/>
    <w:rsid w:val="00731C2A"/>
    <w:rsid w:val="007A5751"/>
    <w:rsid w:val="007B44F4"/>
    <w:rsid w:val="00806C98"/>
    <w:rsid w:val="00811A01"/>
    <w:rsid w:val="00813992"/>
    <w:rsid w:val="00841981"/>
    <w:rsid w:val="008B5BE2"/>
    <w:rsid w:val="00940C31"/>
    <w:rsid w:val="00946503"/>
    <w:rsid w:val="00984395"/>
    <w:rsid w:val="009C6008"/>
    <w:rsid w:val="00A45072"/>
    <w:rsid w:val="00AC13D1"/>
    <w:rsid w:val="00AD0B95"/>
    <w:rsid w:val="00B95004"/>
    <w:rsid w:val="00C92958"/>
    <w:rsid w:val="00D37C18"/>
    <w:rsid w:val="00E315C3"/>
    <w:rsid w:val="00E40D6D"/>
    <w:rsid w:val="00E4499B"/>
    <w:rsid w:val="00E56928"/>
    <w:rsid w:val="00E73C24"/>
    <w:rsid w:val="00E84953"/>
    <w:rsid w:val="00EA7527"/>
    <w:rsid w:val="00F24246"/>
    <w:rsid w:val="00F57158"/>
    <w:rsid w:val="00F809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90A53B47-24CC-4B92-8AD5-1D555661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60D7"/>
    <w:pPr>
      <w:bidi/>
      <w:spacing w:before="120" w:after="120" w:line="336" w:lineRule="auto"/>
      <w:jc w:val="both"/>
    </w:pPr>
    <w:rPr>
      <w:rFonts w:ascii="Times New Roman" w:eastAsia="Times New Roman" w:hAnsi="Times New Roman" w:cs="David"/>
      <w:sz w:val="24"/>
      <w:szCs w:val="24"/>
      <w:lang w:eastAsia="he-IL"/>
    </w:rPr>
  </w:style>
  <w:style w:type="paragraph" w:styleId="10">
    <w:name w:val="heading 1"/>
    <w:basedOn w:val="a"/>
    <w:next w:val="a"/>
    <w:link w:val="12"/>
    <w:qFormat/>
    <w:rsid w:val="00AD0B95"/>
    <w:pPr>
      <w:keepNext/>
      <w:spacing w:line="360" w:lineRule="auto"/>
      <w:jc w:val="center"/>
      <w:outlineLvl w:val="0"/>
    </w:pPr>
    <w:rPr>
      <w:rFonts w:ascii="Arial" w:eastAsia="Calibri" w:hAnsi="Arial"/>
      <w:b/>
      <w:bCs/>
      <w:kern w:val="32"/>
      <w:sz w:val="32"/>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A60D7"/>
    <w:pPr>
      <w:tabs>
        <w:tab w:val="left" w:pos="210"/>
      </w:tabs>
      <w:spacing w:before="0" w:after="0" w:line="240" w:lineRule="auto"/>
      <w:ind w:left="227" w:hanging="227"/>
    </w:pPr>
    <w:rPr>
      <w:sz w:val="20"/>
      <w:szCs w:val="20"/>
    </w:rPr>
  </w:style>
  <w:style w:type="character" w:customStyle="1" w:styleId="a4">
    <w:name w:val="טקסט הערת שוליים תו"/>
    <w:basedOn w:val="a0"/>
    <w:link w:val="a3"/>
    <w:uiPriority w:val="99"/>
    <w:semiHidden/>
    <w:rsid w:val="004A60D7"/>
    <w:rPr>
      <w:rFonts w:ascii="Times New Roman" w:eastAsia="Times New Roman" w:hAnsi="Times New Roman" w:cs="David"/>
      <w:sz w:val="20"/>
      <w:szCs w:val="20"/>
      <w:lang w:eastAsia="he-IL"/>
    </w:rPr>
  </w:style>
  <w:style w:type="character" w:styleId="a5">
    <w:name w:val="footnote reference"/>
    <w:uiPriority w:val="99"/>
    <w:semiHidden/>
    <w:rsid w:val="004A60D7"/>
    <w:rPr>
      <w:vertAlign w:val="superscript"/>
    </w:rPr>
  </w:style>
  <w:style w:type="paragraph" w:customStyle="1" w:styleId="1">
    <w:name w:val="כות_1"/>
    <w:basedOn w:val="a"/>
    <w:rsid w:val="004A60D7"/>
    <w:pPr>
      <w:numPr>
        <w:numId w:val="1"/>
      </w:numPr>
      <w:spacing w:before="240" w:line="360" w:lineRule="auto"/>
    </w:pPr>
    <w:rPr>
      <w:b/>
      <w:bCs/>
      <w:sz w:val="28"/>
      <w:szCs w:val="28"/>
    </w:rPr>
  </w:style>
  <w:style w:type="paragraph" w:customStyle="1" w:styleId="11">
    <w:name w:val="כות_1.1"/>
    <w:basedOn w:val="1"/>
    <w:rsid w:val="004A60D7"/>
    <w:pPr>
      <w:numPr>
        <w:ilvl w:val="1"/>
      </w:numPr>
    </w:pPr>
  </w:style>
  <w:style w:type="paragraph" w:customStyle="1" w:styleId="111">
    <w:name w:val="כות_1.1.1"/>
    <w:basedOn w:val="11"/>
    <w:rsid w:val="004A60D7"/>
    <w:pPr>
      <w:numPr>
        <w:ilvl w:val="2"/>
      </w:numPr>
    </w:pPr>
  </w:style>
  <w:style w:type="character" w:styleId="HTMLCite">
    <w:name w:val="HTML Cite"/>
    <w:rsid w:val="004A60D7"/>
    <w:rPr>
      <w:i/>
      <w:iCs/>
    </w:rPr>
  </w:style>
  <w:style w:type="character" w:customStyle="1" w:styleId="12">
    <w:name w:val="כותרת 1 תו"/>
    <w:basedOn w:val="a0"/>
    <w:link w:val="10"/>
    <w:rsid w:val="00AD0B95"/>
    <w:rPr>
      <w:rFonts w:ascii="Arial" w:eastAsia="Calibri" w:hAnsi="Arial" w:cs="David"/>
      <w:b/>
      <w:bCs/>
      <w:kern w:val="32"/>
      <w:sz w:val="32"/>
      <w:szCs w:val="28"/>
    </w:rPr>
  </w:style>
  <w:style w:type="paragraph" w:styleId="a6">
    <w:name w:val="Balloon Text"/>
    <w:basedOn w:val="a"/>
    <w:link w:val="a7"/>
    <w:uiPriority w:val="99"/>
    <w:semiHidden/>
    <w:unhideWhenUsed/>
    <w:rsid w:val="003647C6"/>
    <w:pPr>
      <w:spacing w:before="0" w:after="0" w:line="240" w:lineRule="auto"/>
    </w:pPr>
    <w:rPr>
      <w:rFonts w:ascii="Tahoma" w:hAnsi="Tahoma" w:cs="Tahoma"/>
      <w:sz w:val="16"/>
      <w:szCs w:val="16"/>
    </w:rPr>
  </w:style>
  <w:style w:type="character" w:customStyle="1" w:styleId="a7">
    <w:name w:val="טקסט בלונים תו"/>
    <w:basedOn w:val="a0"/>
    <w:link w:val="a6"/>
    <w:uiPriority w:val="99"/>
    <w:semiHidden/>
    <w:rsid w:val="003647C6"/>
    <w:rPr>
      <w:rFonts w:ascii="Tahoma" w:eastAsia="Times New Roman" w:hAnsi="Tahoma" w:cs="Tahoma"/>
      <w:sz w:val="16"/>
      <w:szCs w:val="16"/>
      <w:lang w:eastAsia="he-IL"/>
    </w:rPr>
  </w:style>
  <w:style w:type="character" w:styleId="Hyperlink">
    <w:name w:val="Hyperlink"/>
    <w:basedOn w:val="a0"/>
    <w:uiPriority w:val="99"/>
    <w:unhideWhenUsed/>
    <w:rsid w:val="00270A82"/>
    <w:rPr>
      <w:color w:val="0000FF" w:themeColor="hyperlink"/>
      <w:u w:val="single"/>
    </w:rPr>
  </w:style>
  <w:style w:type="paragraph" w:styleId="a8">
    <w:name w:val="List Paragraph"/>
    <w:basedOn w:val="a"/>
    <w:uiPriority w:val="34"/>
    <w:qFormat/>
    <w:rsid w:val="00811A01"/>
    <w:pPr>
      <w:ind w:left="720"/>
      <w:contextualSpacing/>
    </w:pPr>
  </w:style>
  <w:style w:type="paragraph" w:styleId="a9">
    <w:name w:val="header"/>
    <w:basedOn w:val="a"/>
    <w:link w:val="aa"/>
    <w:uiPriority w:val="99"/>
    <w:unhideWhenUsed/>
    <w:rsid w:val="005D2678"/>
    <w:pPr>
      <w:tabs>
        <w:tab w:val="center" w:pos="4153"/>
        <w:tab w:val="right" w:pos="8306"/>
      </w:tabs>
      <w:spacing w:before="0" w:after="0" w:line="240" w:lineRule="auto"/>
    </w:pPr>
  </w:style>
  <w:style w:type="character" w:customStyle="1" w:styleId="aa">
    <w:name w:val="כותרת עליונה תו"/>
    <w:basedOn w:val="a0"/>
    <w:link w:val="a9"/>
    <w:uiPriority w:val="99"/>
    <w:rsid w:val="005D2678"/>
    <w:rPr>
      <w:rFonts w:ascii="Times New Roman" w:eastAsia="Times New Roman" w:hAnsi="Times New Roman" w:cs="David"/>
      <w:sz w:val="24"/>
      <w:szCs w:val="24"/>
      <w:lang w:eastAsia="he-IL"/>
    </w:rPr>
  </w:style>
  <w:style w:type="paragraph" w:styleId="ab">
    <w:name w:val="footer"/>
    <w:basedOn w:val="a"/>
    <w:link w:val="ac"/>
    <w:uiPriority w:val="99"/>
    <w:unhideWhenUsed/>
    <w:rsid w:val="005D2678"/>
    <w:pPr>
      <w:tabs>
        <w:tab w:val="center" w:pos="4153"/>
        <w:tab w:val="right" w:pos="8306"/>
      </w:tabs>
      <w:spacing w:before="0" w:after="0" w:line="240" w:lineRule="auto"/>
    </w:pPr>
  </w:style>
  <w:style w:type="character" w:customStyle="1" w:styleId="ac">
    <w:name w:val="כותרת תחתונה תו"/>
    <w:basedOn w:val="a0"/>
    <w:link w:val="ab"/>
    <w:uiPriority w:val="99"/>
    <w:rsid w:val="005D2678"/>
    <w:rPr>
      <w:rFonts w:ascii="Times New Roman" w:eastAsia="Times New Roman" w:hAnsi="Times New Roman"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intora.org/PirsumProduct.asp?ChildID=71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7617</Characters>
  <Application>Microsoft Office Word</Application>
  <DocSecurity>0</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אונגר</dc:creator>
  <cp:lastModifiedBy>Yuval</cp:lastModifiedBy>
  <cp:revision>2</cp:revision>
  <dcterms:created xsi:type="dcterms:W3CDTF">2023-10-13T08:49:00Z</dcterms:created>
  <dcterms:modified xsi:type="dcterms:W3CDTF">2023-10-13T08:49:00Z</dcterms:modified>
</cp:coreProperties>
</file>