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1247"/>
        <w:tblW w:w="9108" w:type="dxa"/>
        <w:tblBorders>
          <w:bottom w:val="single" w:sz="4" w:space="0" w:color="auto"/>
        </w:tblBorders>
        <w:tblLayout w:type="fixed"/>
        <w:tblLook w:val="0000" w:firstRow="0" w:lastRow="0" w:firstColumn="0" w:lastColumn="0" w:noHBand="0" w:noVBand="0"/>
      </w:tblPr>
      <w:tblGrid>
        <w:gridCol w:w="3708"/>
        <w:gridCol w:w="2520"/>
        <w:gridCol w:w="2880"/>
      </w:tblGrid>
      <w:tr w:rsidR="009349A2" w:rsidRPr="00B741F0" w:rsidTr="005524DA">
        <w:trPr>
          <w:trHeight w:val="1619"/>
        </w:trPr>
        <w:tc>
          <w:tcPr>
            <w:tcW w:w="3708" w:type="dxa"/>
            <w:tcBorders>
              <w:bottom w:val="single" w:sz="4" w:space="0" w:color="auto"/>
            </w:tcBorders>
          </w:tcPr>
          <w:p w:rsidR="009349A2" w:rsidRPr="007264D4" w:rsidRDefault="009349A2" w:rsidP="005524DA">
            <w:pPr>
              <w:bidi w:val="0"/>
              <w:spacing w:line="340" w:lineRule="atLeast"/>
              <w:rPr>
                <w:sz w:val="20"/>
                <w:szCs w:val="20"/>
              </w:rPr>
            </w:pPr>
            <w:proofErr w:type="spellStart"/>
            <w:smartTag w:uri="urn:schemas-microsoft-com:office:smarttags" w:element="PlaceName">
              <w:smartTag w:uri="urn:schemas-microsoft-com:office:smarttags" w:element="place">
                <w:r>
                  <w:rPr>
                    <w:b/>
                    <w:bCs/>
                    <w:smallCaps/>
                    <w:spacing w:val="5"/>
                    <w:sz w:val="20"/>
                    <w:szCs w:val="20"/>
                  </w:rPr>
                  <w:t>n</w:t>
                </w:r>
                <w:r w:rsidRPr="007264D4">
                  <w:rPr>
                    <w:b/>
                    <w:bCs/>
                    <w:smallCaps/>
                    <w:spacing w:val="5"/>
                    <w:sz w:val="20"/>
                    <w:szCs w:val="20"/>
                  </w:rPr>
                  <w:t>etanya</w:t>
                </w:r>
              </w:smartTag>
              <w:proofErr w:type="spellEnd"/>
              <w:r w:rsidRPr="007264D4">
                <w:rPr>
                  <w:b/>
                  <w:bCs/>
                  <w:smallCaps/>
                  <w:spacing w:val="5"/>
                  <w:sz w:val="20"/>
                  <w:szCs w:val="20"/>
                </w:rPr>
                <w:t xml:space="preserve">  </w:t>
              </w:r>
              <w:smartTag w:uri="urn:schemas-microsoft-com:office:smarttags" w:element="PlaceName">
                <w:r w:rsidRPr="007264D4">
                  <w:rPr>
                    <w:b/>
                    <w:bCs/>
                    <w:smallCaps/>
                    <w:spacing w:val="5"/>
                    <w:sz w:val="20"/>
                    <w:szCs w:val="20"/>
                  </w:rPr>
                  <w:t>Academic</w:t>
                </w:r>
              </w:smartTag>
              <w:r w:rsidRPr="007264D4">
                <w:rPr>
                  <w:b/>
                  <w:bCs/>
                  <w:smallCaps/>
                  <w:spacing w:val="5"/>
                  <w:sz w:val="20"/>
                  <w:szCs w:val="20"/>
                </w:rPr>
                <w:t xml:space="preserve">  </w:t>
              </w:r>
              <w:smartTag w:uri="urn:schemas-microsoft-com:office:smarttags" w:element="PlaceType">
                <w:r w:rsidRPr="007264D4">
                  <w:rPr>
                    <w:b/>
                    <w:bCs/>
                    <w:smallCaps/>
                    <w:spacing w:val="5"/>
                    <w:sz w:val="20"/>
                    <w:szCs w:val="20"/>
                  </w:rPr>
                  <w:t>College</w:t>
                </w:r>
              </w:smartTag>
            </w:smartTag>
            <w:r w:rsidRPr="00B741F0">
              <w:rPr>
                <w:b/>
                <w:bCs/>
                <w:smallCaps/>
                <w:spacing w:val="5"/>
              </w:rPr>
              <w:t xml:space="preserve"> </w:t>
            </w:r>
            <w:r>
              <w:rPr>
                <w:b/>
                <w:bCs/>
                <w:smallCaps/>
                <w:spacing w:val="5"/>
                <w:sz w:val="20"/>
                <w:szCs w:val="20"/>
              </w:rPr>
              <w:t>(</w:t>
            </w:r>
            <w:proofErr w:type="spellStart"/>
            <w:r w:rsidRPr="007264D4">
              <w:rPr>
                <w:b/>
                <w:bCs/>
                <w:smallCaps/>
                <w:spacing w:val="5"/>
                <w:sz w:val="20"/>
                <w:szCs w:val="20"/>
              </w:rPr>
              <w:t>r”s</w:t>
            </w:r>
            <w:proofErr w:type="spellEnd"/>
            <w:r w:rsidRPr="007264D4">
              <w:rPr>
                <w:b/>
                <w:bCs/>
                <w:smallCaps/>
                <w:spacing w:val="5"/>
                <w:sz w:val="20"/>
                <w:szCs w:val="20"/>
              </w:rPr>
              <w:t>)</w:t>
            </w:r>
          </w:p>
          <w:p w:rsidR="009349A2" w:rsidRPr="007264D4" w:rsidRDefault="009349A2" w:rsidP="005524DA">
            <w:pPr>
              <w:bidi w:val="0"/>
              <w:spacing w:line="340" w:lineRule="atLeast"/>
              <w:rPr>
                <w:b/>
                <w:bCs/>
                <w:sz w:val="20"/>
                <w:szCs w:val="20"/>
              </w:rPr>
            </w:pPr>
            <w:smartTag w:uri="urn:schemas-microsoft-com:office:smarttags" w:element="address">
              <w:smartTag w:uri="urn:schemas-microsoft-com:office:smarttags" w:element="Street">
                <w:r w:rsidRPr="007264D4">
                  <w:rPr>
                    <w:b/>
                    <w:bCs/>
                    <w:sz w:val="20"/>
                    <w:szCs w:val="20"/>
                  </w:rPr>
                  <w:t>1 University St</w:t>
                </w:r>
              </w:smartTag>
            </w:smartTag>
            <w:r w:rsidRPr="007264D4">
              <w:rPr>
                <w:b/>
                <w:bCs/>
                <w:sz w:val="20"/>
                <w:szCs w:val="20"/>
              </w:rPr>
              <w:t>.</w:t>
            </w:r>
          </w:p>
          <w:p w:rsidR="009349A2" w:rsidRPr="007264D4" w:rsidRDefault="009349A2" w:rsidP="005524DA">
            <w:pPr>
              <w:bidi w:val="0"/>
              <w:spacing w:line="340" w:lineRule="atLeast"/>
              <w:rPr>
                <w:b/>
                <w:bCs/>
                <w:sz w:val="20"/>
                <w:szCs w:val="20"/>
              </w:rPr>
            </w:pPr>
            <w:proofErr w:type="spellStart"/>
            <w:r w:rsidRPr="007264D4">
              <w:rPr>
                <w:b/>
                <w:bCs/>
                <w:sz w:val="20"/>
                <w:szCs w:val="20"/>
              </w:rPr>
              <w:t>Kiryat</w:t>
            </w:r>
            <w:proofErr w:type="spellEnd"/>
            <w:r w:rsidRPr="007264D4">
              <w:rPr>
                <w:b/>
                <w:bCs/>
                <w:sz w:val="20"/>
                <w:szCs w:val="20"/>
              </w:rPr>
              <w:t xml:space="preserve"> Yitzhak Rabin</w:t>
            </w:r>
          </w:p>
          <w:p w:rsidR="009349A2" w:rsidRPr="00B741F0" w:rsidRDefault="009349A2" w:rsidP="005524DA">
            <w:pPr>
              <w:bidi w:val="0"/>
              <w:spacing w:line="340" w:lineRule="atLeast"/>
            </w:pPr>
            <w:smartTag w:uri="urn:schemas-microsoft-com:office:smarttags" w:element="City">
              <w:smartTag w:uri="urn:schemas-microsoft-com:office:smarttags" w:element="place">
                <w:r w:rsidRPr="007264D4">
                  <w:rPr>
                    <w:b/>
                    <w:bCs/>
                    <w:smallCaps/>
                    <w:spacing w:val="5"/>
                    <w:sz w:val="20"/>
                    <w:szCs w:val="20"/>
                  </w:rPr>
                  <w:t>Netanya</w:t>
                </w:r>
              </w:smartTag>
              <w:r w:rsidRPr="007264D4">
                <w:rPr>
                  <w:b/>
                  <w:bCs/>
                  <w:sz w:val="20"/>
                  <w:szCs w:val="20"/>
                </w:rPr>
                <w:t xml:space="preserve"> </w:t>
              </w:r>
              <w:smartTag w:uri="urn:schemas-microsoft-com:office:smarttags" w:element="country-region">
                <w:r w:rsidRPr="007264D4">
                  <w:rPr>
                    <w:b/>
                    <w:bCs/>
                    <w:sz w:val="20"/>
                    <w:szCs w:val="20"/>
                  </w:rPr>
                  <w:t>42365</w:t>
                </w:r>
              </w:smartTag>
              <w:r w:rsidRPr="007264D4">
                <w:rPr>
                  <w:b/>
                  <w:bCs/>
                  <w:sz w:val="20"/>
                  <w:szCs w:val="20"/>
                </w:rPr>
                <w:t xml:space="preserve">, </w:t>
              </w:r>
              <w:smartTag w:uri="urn:schemas-microsoft-com:office:smarttags" w:element="country-region">
                <w:r w:rsidRPr="007264D4">
                  <w:rPr>
                    <w:b/>
                    <w:bCs/>
                    <w:sz w:val="20"/>
                    <w:szCs w:val="20"/>
                  </w:rPr>
                  <w:t>ISRAEL</w:t>
                </w:r>
              </w:smartTag>
            </w:smartTag>
          </w:p>
        </w:tc>
        <w:tc>
          <w:tcPr>
            <w:tcW w:w="2520" w:type="dxa"/>
            <w:tcBorders>
              <w:bottom w:val="single" w:sz="4" w:space="0" w:color="auto"/>
            </w:tcBorders>
          </w:tcPr>
          <w:p w:rsidR="009349A2" w:rsidRDefault="009349A2" w:rsidP="005524DA">
            <w:pPr>
              <w:spacing w:line="340" w:lineRule="atLeast"/>
              <w:ind w:right="-170"/>
            </w:pPr>
            <w:r>
              <w:t xml:space="preserve">  </w:t>
            </w:r>
          </w:p>
          <w:p w:rsidR="009349A2" w:rsidRPr="00B741F0" w:rsidRDefault="009349A2" w:rsidP="005524DA">
            <w:pPr>
              <w:spacing w:line="340" w:lineRule="atLeast"/>
              <w:ind w:right="-170"/>
              <w:jc w:val="center"/>
              <w:rPr>
                <w:rFonts w:cs="FrankRuehl"/>
                <w:b/>
                <w:bCs/>
                <w:rtl/>
              </w:rPr>
            </w:pPr>
            <w:r w:rsidRPr="00B741F0">
              <w:object w:dxaOrig="5561" w:dyaOrig="5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65pt;height:26.15pt" o:ole="" fillcolor="window">
                  <v:imagedata r:id="rId8" o:title=""/>
                </v:shape>
                <o:OLEObject Type="Embed" ProgID="MSDraw" ShapeID="_x0000_i1025" DrawAspect="Content" ObjectID="_1468240597" r:id="rId9">
                  <o:FieldCodes>\* MERGEFORMAT</o:FieldCodes>
                </o:OLEObject>
              </w:object>
            </w:r>
          </w:p>
          <w:p w:rsidR="009349A2" w:rsidRPr="00B741F0" w:rsidRDefault="009349A2" w:rsidP="005524DA">
            <w:pPr>
              <w:spacing w:line="340" w:lineRule="atLeast"/>
              <w:ind w:right="-170"/>
              <w:jc w:val="center"/>
              <w:rPr>
                <w:rFonts w:cs="FrankRuehl"/>
                <w:b/>
                <w:bCs/>
                <w:rtl/>
              </w:rPr>
            </w:pPr>
            <w:r w:rsidRPr="00B741F0">
              <w:rPr>
                <w:rFonts w:cs="FrankRuehl" w:hint="cs"/>
                <w:b/>
                <w:bCs/>
                <w:rtl/>
              </w:rPr>
              <w:t>המרכז</w:t>
            </w:r>
            <w:r w:rsidRPr="00B741F0">
              <w:rPr>
                <w:rFonts w:cs="FrankRuehl"/>
                <w:b/>
                <w:bCs/>
                <w:rtl/>
              </w:rPr>
              <w:t xml:space="preserve"> </w:t>
            </w:r>
            <w:r w:rsidRPr="00B741F0">
              <w:rPr>
                <w:rFonts w:cs="FrankRuehl" w:hint="cs"/>
                <w:b/>
                <w:bCs/>
                <w:rtl/>
              </w:rPr>
              <w:t>ליישומי</w:t>
            </w:r>
            <w:r w:rsidRPr="00B741F0">
              <w:rPr>
                <w:rFonts w:cs="FrankRuehl"/>
                <w:b/>
                <w:bCs/>
                <w:rtl/>
              </w:rPr>
              <w:t xml:space="preserve"> </w:t>
            </w:r>
            <w:r w:rsidRPr="00B741F0">
              <w:rPr>
                <w:rFonts w:cs="FrankRuehl" w:hint="cs"/>
                <w:b/>
                <w:bCs/>
                <w:rtl/>
              </w:rPr>
              <w:t>משפט</w:t>
            </w:r>
            <w:r w:rsidRPr="00B741F0">
              <w:rPr>
                <w:rFonts w:cs="FrankRuehl"/>
                <w:b/>
                <w:bCs/>
                <w:rtl/>
              </w:rPr>
              <w:t xml:space="preserve"> </w:t>
            </w:r>
            <w:r w:rsidRPr="00B741F0">
              <w:rPr>
                <w:rFonts w:cs="FrankRuehl" w:hint="cs"/>
                <w:b/>
                <w:bCs/>
                <w:rtl/>
              </w:rPr>
              <w:t>עברי</w:t>
            </w:r>
          </w:p>
          <w:p w:rsidR="009349A2" w:rsidRPr="00B741F0" w:rsidRDefault="009349A2" w:rsidP="005524DA">
            <w:pPr>
              <w:spacing w:line="340" w:lineRule="atLeast"/>
              <w:ind w:right="-170"/>
              <w:jc w:val="center"/>
            </w:pPr>
            <w:r w:rsidRPr="00B741F0">
              <w:rPr>
                <w:rFonts w:cs="FrankRuehl"/>
                <w:b/>
                <w:bCs/>
                <w:rtl/>
              </w:rPr>
              <w:t>(</w:t>
            </w:r>
            <w:proofErr w:type="spellStart"/>
            <w:r w:rsidRPr="00B741F0">
              <w:rPr>
                <w:rFonts w:cs="FrankRuehl" w:hint="cs"/>
                <w:b/>
                <w:bCs/>
                <w:rtl/>
              </w:rPr>
              <w:t>ישמ</w:t>
            </w:r>
            <w:r w:rsidRPr="00B741F0">
              <w:rPr>
                <w:rFonts w:cs="FrankRuehl"/>
                <w:b/>
                <w:bCs/>
                <w:rtl/>
              </w:rPr>
              <w:t>"</w:t>
            </w:r>
            <w:r w:rsidRPr="00B741F0">
              <w:rPr>
                <w:rFonts w:cs="FrankRuehl" w:hint="cs"/>
                <w:b/>
                <w:bCs/>
                <w:rtl/>
              </w:rPr>
              <w:t>ע</w:t>
            </w:r>
            <w:proofErr w:type="spellEnd"/>
            <w:r w:rsidRPr="00B741F0">
              <w:rPr>
                <w:rFonts w:cs="FrankRuehl"/>
                <w:b/>
                <w:bCs/>
                <w:rtl/>
              </w:rPr>
              <w:t>)</w:t>
            </w:r>
          </w:p>
        </w:tc>
        <w:tc>
          <w:tcPr>
            <w:tcW w:w="2880" w:type="dxa"/>
            <w:tcBorders>
              <w:bottom w:val="single" w:sz="4" w:space="0" w:color="auto"/>
            </w:tcBorders>
          </w:tcPr>
          <w:p w:rsidR="009349A2" w:rsidRPr="00DC26D4" w:rsidRDefault="009349A2" w:rsidP="005524DA">
            <w:pPr>
              <w:spacing w:line="340" w:lineRule="atLeast"/>
              <w:rPr>
                <w:rtl/>
              </w:rPr>
            </w:pPr>
            <w:r w:rsidRPr="00DC26D4">
              <w:rPr>
                <w:rFonts w:hint="cs"/>
                <w:b/>
                <w:bCs/>
                <w:rtl/>
              </w:rPr>
              <w:t>המכללה</w:t>
            </w:r>
            <w:r w:rsidRPr="00DC26D4">
              <w:rPr>
                <w:b/>
                <w:bCs/>
                <w:rtl/>
              </w:rPr>
              <w:t xml:space="preserve"> </w:t>
            </w:r>
            <w:r w:rsidRPr="00DC26D4">
              <w:rPr>
                <w:rFonts w:hint="cs"/>
                <w:b/>
                <w:bCs/>
                <w:rtl/>
              </w:rPr>
              <w:t>האקדמית</w:t>
            </w:r>
            <w:r w:rsidRPr="00DC26D4">
              <w:rPr>
                <w:b/>
                <w:bCs/>
                <w:rtl/>
              </w:rPr>
              <w:t xml:space="preserve"> </w:t>
            </w:r>
            <w:r w:rsidRPr="00DC26D4">
              <w:rPr>
                <w:rFonts w:hint="cs"/>
                <w:b/>
                <w:bCs/>
                <w:rtl/>
              </w:rPr>
              <w:t>נתניה</w:t>
            </w:r>
            <w:r w:rsidRPr="00DC26D4">
              <w:rPr>
                <w:b/>
                <w:bCs/>
                <w:rtl/>
              </w:rPr>
              <w:t xml:space="preserve"> </w:t>
            </w:r>
            <w:proofErr w:type="spellStart"/>
            <w:r>
              <w:rPr>
                <w:rFonts w:hint="cs"/>
                <w:b/>
                <w:bCs/>
                <w:rtl/>
              </w:rPr>
              <w:t>ע</w:t>
            </w:r>
            <w:r w:rsidRPr="00DC26D4">
              <w:rPr>
                <w:b/>
                <w:bCs/>
                <w:rtl/>
              </w:rPr>
              <w:t>"</w:t>
            </w:r>
            <w:r w:rsidRPr="00DC26D4">
              <w:rPr>
                <w:rFonts w:hint="cs"/>
                <w:b/>
                <w:bCs/>
                <w:rtl/>
              </w:rPr>
              <w:t>ר</w:t>
            </w:r>
            <w:proofErr w:type="spellEnd"/>
          </w:p>
          <w:p w:rsidR="009349A2" w:rsidRPr="00DC26D4" w:rsidRDefault="009349A2" w:rsidP="005524DA">
            <w:pPr>
              <w:spacing w:line="340" w:lineRule="atLeast"/>
              <w:rPr>
                <w:b/>
                <w:bCs/>
                <w:rtl/>
              </w:rPr>
            </w:pPr>
            <w:r w:rsidRPr="00DC26D4">
              <w:rPr>
                <w:rFonts w:hint="cs"/>
                <w:b/>
                <w:bCs/>
                <w:rtl/>
              </w:rPr>
              <w:t>רח</w:t>
            </w:r>
            <w:r w:rsidRPr="00DC26D4">
              <w:rPr>
                <w:b/>
                <w:bCs/>
                <w:rtl/>
              </w:rPr>
              <w:t xml:space="preserve">' </w:t>
            </w:r>
            <w:r w:rsidRPr="00DC26D4">
              <w:rPr>
                <w:rFonts w:hint="cs"/>
                <w:b/>
                <w:bCs/>
                <w:rtl/>
              </w:rPr>
              <w:t>האוניברסיטה</w:t>
            </w:r>
            <w:r w:rsidRPr="00DC26D4">
              <w:rPr>
                <w:b/>
                <w:bCs/>
                <w:rtl/>
              </w:rPr>
              <w:t xml:space="preserve"> 1</w:t>
            </w:r>
          </w:p>
          <w:p w:rsidR="009349A2" w:rsidRPr="00DC26D4" w:rsidRDefault="009349A2" w:rsidP="005524DA">
            <w:pPr>
              <w:spacing w:line="340" w:lineRule="atLeast"/>
              <w:rPr>
                <w:b/>
                <w:bCs/>
                <w:rtl/>
              </w:rPr>
            </w:pPr>
            <w:proofErr w:type="spellStart"/>
            <w:r w:rsidRPr="00DC26D4">
              <w:rPr>
                <w:rFonts w:hint="cs"/>
                <w:b/>
                <w:bCs/>
                <w:rtl/>
              </w:rPr>
              <w:t>קרית</w:t>
            </w:r>
            <w:proofErr w:type="spellEnd"/>
            <w:r w:rsidRPr="00DC26D4">
              <w:rPr>
                <w:b/>
                <w:bCs/>
                <w:rtl/>
              </w:rPr>
              <w:t xml:space="preserve"> </w:t>
            </w:r>
            <w:r w:rsidRPr="00DC26D4">
              <w:rPr>
                <w:rFonts w:hint="cs"/>
                <w:b/>
                <w:bCs/>
                <w:rtl/>
              </w:rPr>
              <w:t>יצחק</w:t>
            </w:r>
            <w:r w:rsidRPr="00DC26D4">
              <w:rPr>
                <w:b/>
                <w:bCs/>
                <w:rtl/>
              </w:rPr>
              <w:t xml:space="preserve"> </w:t>
            </w:r>
            <w:r w:rsidRPr="00DC26D4">
              <w:rPr>
                <w:rFonts w:hint="cs"/>
                <w:b/>
                <w:bCs/>
                <w:rtl/>
              </w:rPr>
              <w:t>רבין</w:t>
            </w:r>
          </w:p>
          <w:p w:rsidR="009349A2" w:rsidRPr="00DC26D4" w:rsidRDefault="009349A2" w:rsidP="005524DA">
            <w:pPr>
              <w:spacing w:line="340" w:lineRule="atLeast"/>
              <w:rPr>
                <w:rtl/>
              </w:rPr>
            </w:pPr>
            <w:r w:rsidRPr="00DC26D4">
              <w:rPr>
                <w:rFonts w:hint="cs"/>
                <w:b/>
                <w:bCs/>
                <w:rtl/>
              </w:rPr>
              <w:t>נתניה</w:t>
            </w:r>
            <w:r w:rsidRPr="00DC26D4">
              <w:rPr>
                <w:b/>
                <w:bCs/>
                <w:rtl/>
              </w:rPr>
              <w:t xml:space="preserve">  42365</w:t>
            </w:r>
          </w:p>
          <w:p w:rsidR="009349A2" w:rsidRPr="00B741F0" w:rsidRDefault="009349A2" w:rsidP="005524DA">
            <w:pPr>
              <w:spacing w:line="340" w:lineRule="atLeast"/>
              <w:rPr>
                <w:rFonts w:cs="FrankRuehl"/>
                <w:b/>
                <w:bCs/>
              </w:rPr>
            </w:pPr>
          </w:p>
        </w:tc>
      </w:tr>
    </w:tbl>
    <w:p w:rsidR="009349A2" w:rsidRPr="007E30E7" w:rsidRDefault="00BB3EDF" w:rsidP="007E30E7">
      <w:pPr>
        <w:jc w:val="left"/>
        <w:rPr>
          <w:rFonts w:hint="cs"/>
          <w:sz w:val="24"/>
          <w:rtl/>
        </w:rPr>
      </w:pPr>
      <w:r>
        <w:rPr>
          <w:rFonts w:hint="cs"/>
          <w:sz w:val="24"/>
          <w:rtl/>
        </w:rPr>
        <w:t>בס"ד, א' אב תשע"ד (30.8.2014)</w:t>
      </w:r>
    </w:p>
    <w:p w:rsidR="00213695" w:rsidRDefault="00213695" w:rsidP="00213695">
      <w:pPr>
        <w:jc w:val="center"/>
        <w:rPr>
          <w:rFonts w:hint="cs"/>
          <w:b/>
          <w:bCs/>
          <w:sz w:val="28"/>
          <w:szCs w:val="30"/>
          <w:shd w:val="clear" w:color="auto" w:fill="FFFFFF"/>
          <w:rtl/>
        </w:rPr>
      </w:pPr>
      <w:r w:rsidRPr="00213695">
        <w:rPr>
          <w:rFonts w:hint="cs"/>
          <w:b/>
          <w:bCs/>
          <w:sz w:val="28"/>
          <w:szCs w:val="30"/>
          <w:shd w:val="clear" w:color="auto" w:fill="FFFFFF"/>
          <w:rtl/>
        </w:rPr>
        <w:t xml:space="preserve">צו חילוט וחובות כלפי הנושים </w:t>
      </w:r>
      <w:r w:rsidRPr="00213695">
        <w:rPr>
          <w:b/>
          <w:bCs/>
          <w:sz w:val="28"/>
          <w:szCs w:val="30"/>
          <w:shd w:val="clear" w:color="auto" w:fill="FFFFFF"/>
          <w:rtl/>
        </w:rPr>
        <w:t>–</w:t>
      </w:r>
      <w:r w:rsidRPr="00213695">
        <w:rPr>
          <w:rFonts w:hint="cs"/>
          <w:b/>
          <w:bCs/>
          <w:sz w:val="28"/>
          <w:szCs w:val="30"/>
          <w:shd w:val="clear" w:color="auto" w:fill="FFFFFF"/>
          <w:rtl/>
        </w:rPr>
        <w:t xml:space="preserve"> מה קודם?</w:t>
      </w:r>
    </w:p>
    <w:p w:rsidR="007E30E7" w:rsidRPr="007E30E7" w:rsidRDefault="007E30E7" w:rsidP="00213695">
      <w:pPr>
        <w:jc w:val="center"/>
        <w:rPr>
          <w:rFonts w:hint="cs"/>
          <w:b/>
          <w:bCs/>
          <w:sz w:val="24"/>
          <w:shd w:val="clear" w:color="auto" w:fill="FFFFFF"/>
          <w:rtl/>
        </w:rPr>
      </w:pPr>
      <w:r w:rsidRPr="007E30E7">
        <w:rPr>
          <w:rFonts w:hint="cs"/>
          <w:b/>
          <w:bCs/>
          <w:sz w:val="24"/>
          <w:shd w:val="clear" w:color="auto" w:fill="FFFFFF"/>
          <w:rtl/>
        </w:rPr>
        <w:t>מאת</w:t>
      </w:r>
    </w:p>
    <w:p w:rsidR="007E30E7" w:rsidRPr="007E30E7" w:rsidRDefault="007E30E7" w:rsidP="00213695">
      <w:pPr>
        <w:jc w:val="center"/>
        <w:rPr>
          <w:b/>
          <w:bCs/>
          <w:sz w:val="24"/>
          <w:shd w:val="clear" w:color="auto" w:fill="FFFFFF"/>
          <w:rtl/>
        </w:rPr>
      </w:pPr>
      <w:r w:rsidRPr="007E30E7">
        <w:rPr>
          <w:rFonts w:hint="cs"/>
          <w:b/>
          <w:bCs/>
          <w:sz w:val="24"/>
          <w:shd w:val="clear" w:color="auto" w:fill="FFFFFF"/>
          <w:rtl/>
        </w:rPr>
        <w:t xml:space="preserve">הרב עו"ד ירון </w:t>
      </w:r>
      <w:proofErr w:type="spellStart"/>
      <w:r w:rsidRPr="007E30E7">
        <w:rPr>
          <w:rFonts w:hint="cs"/>
          <w:b/>
          <w:bCs/>
          <w:sz w:val="24"/>
          <w:shd w:val="clear" w:color="auto" w:fill="FFFFFF"/>
          <w:rtl/>
        </w:rPr>
        <w:t>אונגר</w:t>
      </w:r>
      <w:proofErr w:type="spellEnd"/>
      <w:r w:rsidRPr="007E30E7">
        <w:rPr>
          <w:rFonts w:hint="cs"/>
          <w:b/>
          <w:bCs/>
          <w:sz w:val="24"/>
          <w:shd w:val="clear" w:color="auto" w:fill="FFFFFF"/>
          <w:rtl/>
        </w:rPr>
        <w:t xml:space="preserve"> ופרופ' יובל סיני</w:t>
      </w:r>
    </w:p>
    <w:p w:rsidR="007E30E7" w:rsidRDefault="007E30E7" w:rsidP="00213695">
      <w:pPr>
        <w:rPr>
          <w:rFonts w:hint="cs"/>
          <w:shd w:val="clear" w:color="auto" w:fill="FFFFFF"/>
          <w:rtl/>
        </w:rPr>
      </w:pPr>
    </w:p>
    <w:p w:rsidR="00213695" w:rsidRDefault="006D43FC" w:rsidP="00213695">
      <w:pPr>
        <w:rPr>
          <w:shd w:val="clear" w:color="auto" w:fill="FFFFFF"/>
          <w:rtl/>
        </w:rPr>
      </w:pPr>
      <w:r>
        <w:rPr>
          <w:rFonts w:hint="cs"/>
          <w:shd w:val="clear" w:color="auto" w:fill="FFFFFF"/>
          <w:rtl/>
        </w:rPr>
        <w:t xml:space="preserve">כנגד פלוני ניתן צו חילוט במסגרתו של הליך פלילי. לאחר מותו מבקשים </w:t>
      </w:r>
      <w:proofErr w:type="spellStart"/>
      <w:r>
        <w:rPr>
          <w:rFonts w:hint="cs"/>
          <w:shd w:val="clear" w:color="auto" w:fill="FFFFFF"/>
          <w:rtl/>
        </w:rPr>
        <w:t>נושיו</w:t>
      </w:r>
      <w:proofErr w:type="spellEnd"/>
      <w:r>
        <w:rPr>
          <w:rFonts w:hint="cs"/>
          <w:shd w:val="clear" w:color="auto" w:fill="FFFFFF"/>
          <w:rtl/>
        </w:rPr>
        <w:t xml:space="preserve"> להיפרע </w:t>
      </w:r>
      <w:proofErr w:type="spellStart"/>
      <w:r>
        <w:rPr>
          <w:rFonts w:hint="cs"/>
          <w:shd w:val="clear" w:color="auto" w:fill="FFFFFF"/>
          <w:rtl/>
        </w:rPr>
        <w:t>מעזבונו</w:t>
      </w:r>
      <w:proofErr w:type="spellEnd"/>
      <w:r>
        <w:rPr>
          <w:rFonts w:hint="cs"/>
          <w:shd w:val="clear" w:color="auto" w:fill="FFFFFF"/>
          <w:rtl/>
        </w:rPr>
        <w:t xml:space="preserve">. האם זכותם </w:t>
      </w:r>
      <w:r w:rsidR="00FC4FF2">
        <w:rPr>
          <w:rFonts w:hint="cs"/>
          <w:shd w:val="clear" w:color="auto" w:fill="FFFFFF"/>
          <w:rtl/>
        </w:rPr>
        <w:t xml:space="preserve">של הנושים </w:t>
      </w:r>
      <w:bookmarkStart w:id="0" w:name="_GoBack"/>
      <w:bookmarkEnd w:id="0"/>
      <w:r>
        <w:rPr>
          <w:rFonts w:hint="cs"/>
          <w:shd w:val="clear" w:color="auto" w:fill="FFFFFF"/>
          <w:rtl/>
        </w:rPr>
        <w:t>בנכסי המנוח קודמת לזכות המדינה בנכסיו מכוחו של צו החילוט, או שמא זכותה של המדינה גוברת?</w:t>
      </w:r>
    </w:p>
    <w:p w:rsidR="006D43FC" w:rsidRDefault="00C27AAB" w:rsidP="00C27AAB">
      <w:pPr>
        <w:pStyle w:val="2"/>
        <w:rPr>
          <w:shd w:val="clear" w:color="auto" w:fill="FFFFFF"/>
        </w:rPr>
      </w:pPr>
      <w:r>
        <w:rPr>
          <w:rFonts w:hint="cs"/>
          <w:shd w:val="clear" w:color="auto" w:fill="FFFFFF"/>
          <w:rtl/>
        </w:rPr>
        <w:t>האם היורשים נדרשים לשלם קנסות שהוטלו על המוריש?</w:t>
      </w:r>
    </w:p>
    <w:p w:rsidR="00C27AAB" w:rsidRDefault="00C27AAB" w:rsidP="001B7771">
      <w:pPr>
        <w:rPr>
          <w:shd w:val="clear" w:color="auto" w:fill="FFFFFF"/>
          <w:rtl/>
        </w:rPr>
      </w:pPr>
      <w:r>
        <w:rPr>
          <w:rFonts w:hint="cs"/>
          <w:shd w:val="clear" w:color="auto" w:fill="FFFFFF"/>
          <w:rtl/>
        </w:rPr>
        <w:t xml:space="preserve">בטרם שנעסוק בשאלה, איזו זכות קודמת, זכות המדינה מכוחו של צו החילוט או זכותו של הנושה, מן הראוי לדון בשאלה מקדמית, האם בכלל נדרשים היורשים לשלם קנסות שהוטלו </w:t>
      </w:r>
      <w:r w:rsidR="00AE48F1">
        <w:rPr>
          <w:rFonts w:hint="cs"/>
          <w:shd w:val="clear" w:color="auto" w:fill="FFFFFF"/>
          <w:rtl/>
        </w:rPr>
        <w:t>על האב לפי המשפט העברי? בהקשר זה יש להבחין בין שני סוגים של קנסות: קנסות שנועדו להעניש את העבריין על ביצוע מעשה העבירה וקנסות שנועדו למנוע מן העבריין ליהנות מפירותיה של העבירה. להלן נדון בחובתם של היורשים לשלם את הקנס, בכל אחד מסוגי הקנסות האמורים.</w:t>
      </w:r>
    </w:p>
    <w:p w:rsidR="00C27AAB" w:rsidRDefault="00AE48F1" w:rsidP="00AE48F1">
      <w:pPr>
        <w:pStyle w:val="3"/>
        <w:rPr>
          <w:shd w:val="clear" w:color="auto" w:fill="FFFFFF"/>
          <w:rtl/>
        </w:rPr>
      </w:pPr>
      <w:r>
        <w:rPr>
          <w:rFonts w:hint="cs"/>
          <w:shd w:val="clear" w:color="auto" w:fill="FFFFFF"/>
          <w:rtl/>
        </w:rPr>
        <w:t xml:space="preserve">קנסות שנועדו להעניש את העבריין </w:t>
      </w:r>
    </w:p>
    <w:p w:rsidR="006D43FC" w:rsidRDefault="001B7771" w:rsidP="001B7771">
      <w:pPr>
        <w:rPr>
          <w:shd w:val="clear" w:color="auto" w:fill="FFFFFF"/>
          <w:rtl/>
        </w:rPr>
      </w:pPr>
      <w:r>
        <w:rPr>
          <w:rFonts w:hint="cs"/>
          <w:shd w:val="clear" w:color="auto" w:fill="FFFFFF"/>
          <w:rtl/>
        </w:rPr>
        <w:t>המשפט העברי מבחין בין שני סוגים ש</w:t>
      </w:r>
      <w:r w:rsidR="00C27AAB">
        <w:rPr>
          <w:rFonts w:hint="cs"/>
          <w:shd w:val="clear" w:color="auto" w:fill="FFFFFF"/>
          <w:rtl/>
        </w:rPr>
        <w:t>ל</w:t>
      </w:r>
      <w:r>
        <w:rPr>
          <w:rFonts w:hint="cs"/>
          <w:shd w:val="clear" w:color="auto" w:fill="FFFFFF"/>
          <w:rtl/>
        </w:rPr>
        <w:t xml:space="preserve"> חיובים כספיים המוטלים על אדם: </w:t>
      </w:r>
      <w:r w:rsidR="00C27AAB">
        <w:rPr>
          <w:rFonts w:hint="cs"/>
          <w:shd w:val="clear" w:color="auto" w:fill="FFFFFF"/>
          <w:rtl/>
        </w:rPr>
        <w:t xml:space="preserve">חיוב מסוג </w:t>
      </w:r>
      <w:r>
        <w:rPr>
          <w:rFonts w:hint="cs"/>
          <w:shd w:val="clear" w:color="auto" w:fill="FFFFFF"/>
          <w:rtl/>
        </w:rPr>
        <w:t>'קנס' ו</w:t>
      </w:r>
      <w:r w:rsidR="00C27AAB">
        <w:rPr>
          <w:rFonts w:hint="cs"/>
          <w:shd w:val="clear" w:color="auto" w:fill="FFFFFF"/>
          <w:rtl/>
        </w:rPr>
        <w:t xml:space="preserve">חיוב מסוג </w:t>
      </w:r>
      <w:r>
        <w:rPr>
          <w:rFonts w:hint="cs"/>
          <w:shd w:val="clear" w:color="auto" w:fill="FFFFFF"/>
          <w:rtl/>
        </w:rPr>
        <w:t>'ממון'. ככלל, חיוב מסוג 'ממון' הוא חיוב כספי שערכו כערך ההפסד או הנזק שגרם החייב לזכאי.</w:t>
      </w:r>
      <w:r w:rsidR="00C13BD4">
        <w:rPr>
          <w:rStyle w:val="a6"/>
          <w:shd w:val="clear" w:color="auto" w:fill="FFFFFF"/>
          <w:rtl/>
        </w:rPr>
        <w:footnoteReference w:id="1"/>
      </w:r>
      <w:r>
        <w:rPr>
          <w:rFonts w:hint="cs"/>
          <w:shd w:val="clear" w:color="auto" w:fill="FFFFFF"/>
          <w:rtl/>
        </w:rPr>
        <w:t xml:space="preserve"> בהתאם להגדרה זו, למשל, חיוב כספי המוטל על מזיק ועל לווה הוא חיוב ממוני. לעומת זאת, חיוב כספי שערכו אינו קשור לגובה הנזק או ההפסד שנגרם, הוא חיוב מסוג 'קנס'.</w:t>
      </w:r>
    </w:p>
    <w:p w:rsidR="001B7771" w:rsidRDefault="001B7771" w:rsidP="001B7771">
      <w:pPr>
        <w:rPr>
          <w:shd w:val="clear" w:color="auto" w:fill="FFFFFF"/>
          <w:rtl/>
        </w:rPr>
      </w:pPr>
      <w:r>
        <w:rPr>
          <w:rFonts w:hint="cs"/>
          <w:shd w:val="clear" w:color="auto" w:fill="FFFFFF"/>
          <w:rtl/>
        </w:rPr>
        <w:t>להבחנה האמורה יש משמעות רבה בכל הנוגע לחובתם של היורשים לפרוע את החוב הכספי שהוטל על האב. היורשים מחויבים לפרוע את חיוביו הכספיים של האב כאשר חיובים אלו הם חיובי 'ממון', אך הם פטורים מכך כאשר החיוב הכספי הוא מסוג 'קנס'. כך עולה מפסיקתו של הרמב"ם בעניין מי שגרם לחברו נזק שאינו ניכר.</w:t>
      </w:r>
    </w:p>
    <w:p w:rsidR="001B7771" w:rsidRDefault="001B7771" w:rsidP="001B7771">
      <w:pPr>
        <w:rPr>
          <w:shd w:val="clear" w:color="auto" w:fill="FFFFFF"/>
          <w:rtl/>
        </w:rPr>
      </w:pPr>
      <w:r>
        <w:rPr>
          <w:rFonts w:hint="cs"/>
          <w:shd w:val="clear" w:color="auto" w:fill="FFFFFF"/>
          <w:rtl/>
        </w:rPr>
        <w:t xml:space="preserve">לפי דין התורה, חיובי </w:t>
      </w:r>
      <w:proofErr w:type="spellStart"/>
      <w:r>
        <w:rPr>
          <w:rFonts w:hint="cs"/>
          <w:shd w:val="clear" w:color="auto" w:fill="FFFFFF"/>
          <w:rtl/>
        </w:rPr>
        <w:t>הנזיקין</w:t>
      </w:r>
      <w:proofErr w:type="spellEnd"/>
      <w:r>
        <w:rPr>
          <w:rFonts w:hint="cs"/>
          <w:shd w:val="clear" w:color="auto" w:fill="FFFFFF"/>
          <w:rtl/>
        </w:rPr>
        <w:t xml:space="preserve"> חלים רק לגבי נזק שניתן לראותו בעין (נזק ניכר), ואין הם חלים לגבי נזק שלא ניתן לראותו בעין (נזק שאינו ניכר).</w:t>
      </w:r>
      <w:r w:rsidR="00C13BD4">
        <w:rPr>
          <w:rStyle w:val="a6"/>
          <w:shd w:val="clear" w:color="auto" w:fill="FFFFFF"/>
          <w:rtl/>
        </w:rPr>
        <w:footnoteReference w:id="2"/>
      </w:r>
      <w:r>
        <w:rPr>
          <w:rFonts w:hint="cs"/>
          <w:shd w:val="clear" w:color="auto" w:fill="FFFFFF"/>
          <w:rtl/>
        </w:rPr>
        <w:t xml:space="preserve"> לפיכך, מעיקר הדין, למשל, לא ניתן לחייב אדם שאסר את היין של חברו בשתייה על ידי שעירבו עם יין שאסור בשתייה, לפצות את בעל היין. </w:t>
      </w:r>
    </w:p>
    <w:p w:rsidR="00C13BD4" w:rsidRDefault="001B7771" w:rsidP="001B7771">
      <w:pPr>
        <w:rPr>
          <w:shd w:val="clear" w:color="auto" w:fill="FFFFFF"/>
          <w:rtl/>
        </w:rPr>
      </w:pPr>
      <w:r w:rsidRPr="00C13BD4">
        <w:rPr>
          <w:rFonts w:hint="cs"/>
          <w:spacing w:val="-4"/>
          <w:shd w:val="clear" w:color="auto" w:fill="FFFFFF"/>
          <w:rtl/>
        </w:rPr>
        <w:lastRenderedPageBreak/>
        <w:t xml:space="preserve">אולם, חכמים </w:t>
      </w:r>
      <w:r w:rsidR="00C13BD4" w:rsidRPr="00C13BD4">
        <w:rPr>
          <w:rFonts w:hint="cs"/>
          <w:spacing w:val="-4"/>
          <w:shd w:val="clear" w:color="auto" w:fill="FFFFFF"/>
          <w:rtl/>
        </w:rPr>
        <w:t>חייבו בכל זאת את המזיק לפצות את הניזק, "הואיל והפחית דמיהן".</w:t>
      </w:r>
      <w:r w:rsidR="00C13BD4" w:rsidRPr="00C13BD4">
        <w:rPr>
          <w:rStyle w:val="a6"/>
          <w:spacing w:val="-4"/>
          <w:shd w:val="clear" w:color="auto" w:fill="FFFFFF"/>
          <w:rtl/>
        </w:rPr>
        <w:footnoteReference w:id="3"/>
      </w:r>
      <w:r w:rsidR="00C13BD4" w:rsidRPr="00C13BD4">
        <w:rPr>
          <w:rFonts w:hint="cs"/>
          <w:spacing w:val="-4"/>
          <w:shd w:val="clear" w:color="auto" w:fill="FFFFFF"/>
          <w:rtl/>
        </w:rPr>
        <w:t xml:space="preserve"> חיוב זה הוגדר כ'קנס' של חכמים, "כדי שלא יהיה כל אחד ואחד מן המשחיתים". בשל כך פסק הרמב"ם, ש</w:t>
      </w:r>
      <w:r w:rsidR="00C13BD4">
        <w:rPr>
          <w:rFonts w:hint="cs"/>
          <w:shd w:val="clear" w:color="auto" w:fill="FFFFFF"/>
          <w:rtl/>
        </w:rPr>
        <w:t xml:space="preserve"> </w:t>
      </w:r>
      <w:r w:rsidR="00C13BD4">
        <w:rPr>
          <w:shd w:val="clear" w:color="auto" w:fill="FFFFFF"/>
          <w:rtl/>
        </w:rPr>
        <w:t>–</w:t>
      </w:r>
      <w:r w:rsidR="00C13BD4">
        <w:rPr>
          <w:rFonts w:hint="cs"/>
          <w:shd w:val="clear" w:color="auto" w:fill="FFFFFF"/>
          <w:rtl/>
        </w:rPr>
        <w:t xml:space="preserve"> </w:t>
      </w:r>
    </w:p>
    <w:p w:rsidR="001B7771" w:rsidRDefault="00C13BD4" w:rsidP="00545060">
      <w:pPr>
        <w:ind w:left="567" w:right="567"/>
        <w:rPr>
          <w:shd w:val="clear" w:color="auto" w:fill="FFFFFF"/>
          <w:rtl/>
        </w:rPr>
      </w:pPr>
      <w:r>
        <w:rPr>
          <w:rFonts w:hint="cs"/>
          <w:shd w:val="clear" w:color="auto" w:fill="FFFFFF"/>
          <w:rtl/>
        </w:rPr>
        <w:t>אם מת זה שה</w:t>
      </w:r>
      <w:r w:rsidR="00545060">
        <w:rPr>
          <w:rFonts w:hint="cs"/>
          <w:shd w:val="clear" w:color="auto" w:fill="FFFFFF"/>
          <w:rtl/>
        </w:rPr>
        <w:t>ז</w:t>
      </w:r>
      <w:r>
        <w:rPr>
          <w:rFonts w:hint="cs"/>
          <w:shd w:val="clear" w:color="auto" w:fill="FFFFFF"/>
          <w:rtl/>
        </w:rPr>
        <w:t xml:space="preserve">יק היזק שאינו ניכר, אין </w:t>
      </w:r>
      <w:proofErr w:type="spellStart"/>
      <w:r>
        <w:rPr>
          <w:rFonts w:hint="cs"/>
          <w:shd w:val="clear" w:color="auto" w:fill="FFFFFF"/>
          <w:rtl/>
        </w:rPr>
        <w:t>גובין</w:t>
      </w:r>
      <w:proofErr w:type="spellEnd"/>
      <w:r>
        <w:rPr>
          <w:rFonts w:hint="cs"/>
          <w:shd w:val="clear" w:color="auto" w:fill="FFFFFF"/>
          <w:rtl/>
        </w:rPr>
        <w:t xml:space="preserve"> הנזק מנכסיו. שלא קנסו חכמים אלא זה שעבר והזיק, אבל היורש שלא עשה כלום </w:t>
      </w:r>
      <w:r>
        <w:rPr>
          <w:shd w:val="clear" w:color="auto" w:fill="FFFFFF"/>
          <w:rtl/>
        </w:rPr>
        <w:t>–</w:t>
      </w:r>
      <w:r>
        <w:rPr>
          <w:rFonts w:hint="cs"/>
          <w:shd w:val="clear" w:color="auto" w:fill="FFFFFF"/>
          <w:rtl/>
        </w:rPr>
        <w:t xml:space="preserve"> לא קנסו אותו.</w:t>
      </w:r>
      <w:r>
        <w:rPr>
          <w:rStyle w:val="a6"/>
          <w:shd w:val="clear" w:color="auto" w:fill="FFFFFF"/>
          <w:rtl/>
        </w:rPr>
        <w:footnoteReference w:id="4"/>
      </w:r>
      <w:r>
        <w:rPr>
          <w:rFonts w:hint="cs"/>
          <w:shd w:val="clear" w:color="auto" w:fill="FFFFFF"/>
          <w:rtl/>
        </w:rPr>
        <w:t xml:space="preserve"> </w:t>
      </w:r>
      <w:r w:rsidR="001B7771">
        <w:rPr>
          <w:rFonts w:hint="cs"/>
          <w:shd w:val="clear" w:color="auto" w:fill="FFFFFF"/>
          <w:rtl/>
        </w:rPr>
        <w:t xml:space="preserve"> </w:t>
      </w:r>
    </w:p>
    <w:p w:rsidR="00545060" w:rsidRDefault="00545060" w:rsidP="00C13BD4">
      <w:pPr>
        <w:rPr>
          <w:shd w:val="clear" w:color="auto" w:fill="FFFFFF"/>
          <w:rtl/>
        </w:rPr>
      </w:pPr>
      <w:r>
        <w:rPr>
          <w:rFonts w:hint="cs"/>
          <w:shd w:val="clear" w:color="auto" w:fill="FFFFFF"/>
          <w:rtl/>
        </w:rPr>
        <w:t>באופן דומה פוסק ה'שו</w:t>
      </w:r>
      <w:r w:rsidR="00C27AAB">
        <w:rPr>
          <w:rFonts w:hint="cs"/>
          <w:shd w:val="clear" w:color="auto" w:fill="FFFFFF"/>
          <w:rtl/>
        </w:rPr>
        <w:t>ל</w:t>
      </w:r>
      <w:r>
        <w:rPr>
          <w:rFonts w:hint="cs"/>
          <w:shd w:val="clear" w:color="auto" w:fill="FFFFFF"/>
          <w:rtl/>
        </w:rPr>
        <w:t xml:space="preserve">חן ערוך' </w:t>
      </w:r>
      <w:r>
        <w:rPr>
          <w:shd w:val="clear" w:color="auto" w:fill="FFFFFF"/>
          <w:rtl/>
        </w:rPr>
        <w:t>–</w:t>
      </w:r>
      <w:r>
        <w:rPr>
          <w:rFonts w:hint="cs"/>
          <w:shd w:val="clear" w:color="auto" w:fill="FFFFFF"/>
          <w:rtl/>
        </w:rPr>
        <w:t xml:space="preserve"> </w:t>
      </w:r>
    </w:p>
    <w:p w:rsidR="00545060" w:rsidRDefault="00545060" w:rsidP="00545060">
      <w:pPr>
        <w:ind w:left="567" w:right="567"/>
        <w:rPr>
          <w:shd w:val="clear" w:color="auto" w:fill="FFFFFF"/>
          <w:rtl/>
        </w:rPr>
      </w:pPr>
      <w:r>
        <w:rPr>
          <w:rFonts w:hint="cs"/>
          <w:shd w:val="clear" w:color="auto" w:fill="FFFFFF"/>
          <w:rtl/>
        </w:rPr>
        <w:t xml:space="preserve">... </w:t>
      </w:r>
      <w:r w:rsidRPr="00545060">
        <w:rPr>
          <w:rFonts w:hint="cs"/>
          <w:shd w:val="clear" w:color="auto" w:fill="FFFFFF"/>
          <w:rtl/>
        </w:rPr>
        <w:t>שמי</w:t>
      </w:r>
      <w:r w:rsidRPr="00545060">
        <w:rPr>
          <w:shd w:val="clear" w:color="auto" w:fill="FFFFFF"/>
          <w:rtl/>
        </w:rPr>
        <w:t xml:space="preserve"> </w:t>
      </w:r>
      <w:r w:rsidRPr="00545060">
        <w:rPr>
          <w:rFonts w:hint="cs"/>
          <w:shd w:val="clear" w:color="auto" w:fill="FFFFFF"/>
          <w:rtl/>
        </w:rPr>
        <w:t>שנתחייב</w:t>
      </w:r>
      <w:r w:rsidRPr="00545060">
        <w:rPr>
          <w:shd w:val="clear" w:color="auto" w:fill="FFFFFF"/>
          <w:rtl/>
        </w:rPr>
        <w:t xml:space="preserve"> </w:t>
      </w:r>
      <w:r w:rsidRPr="00545060">
        <w:rPr>
          <w:rFonts w:hint="cs"/>
          <w:shd w:val="clear" w:color="auto" w:fill="FFFFFF"/>
          <w:rtl/>
        </w:rPr>
        <w:t>ממון</w:t>
      </w:r>
      <w:r w:rsidRPr="00545060">
        <w:rPr>
          <w:shd w:val="clear" w:color="auto" w:fill="FFFFFF"/>
          <w:rtl/>
        </w:rPr>
        <w:t xml:space="preserve"> </w:t>
      </w:r>
      <w:r w:rsidRPr="00545060">
        <w:rPr>
          <w:rFonts w:hint="cs"/>
          <w:shd w:val="clear" w:color="auto" w:fill="FFFFFF"/>
          <w:rtl/>
        </w:rPr>
        <w:t>בבית</w:t>
      </w:r>
      <w:r w:rsidRPr="00545060">
        <w:rPr>
          <w:shd w:val="clear" w:color="auto" w:fill="FFFFFF"/>
          <w:rtl/>
        </w:rPr>
        <w:t xml:space="preserve"> </w:t>
      </w:r>
      <w:r w:rsidRPr="00545060">
        <w:rPr>
          <w:rFonts w:hint="cs"/>
          <w:shd w:val="clear" w:color="auto" w:fill="FFFFFF"/>
          <w:rtl/>
        </w:rPr>
        <w:t>דין</w:t>
      </w:r>
      <w:r w:rsidRPr="00545060">
        <w:rPr>
          <w:shd w:val="clear" w:color="auto" w:fill="FFFFFF"/>
          <w:rtl/>
        </w:rPr>
        <w:t xml:space="preserve"> </w:t>
      </w:r>
      <w:r w:rsidRPr="00545060">
        <w:rPr>
          <w:rFonts w:hint="cs"/>
          <w:shd w:val="clear" w:color="auto" w:fill="FFFFFF"/>
          <w:rtl/>
        </w:rPr>
        <w:t>בעבור</w:t>
      </w:r>
      <w:r w:rsidRPr="00545060">
        <w:rPr>
          <w:shd w:val="clear" w:color="auto" w:fill="FFFFFF"/>
          <w:rtl/>
        </w:rPr>
        <w:t xml:space="preserve"> </w:t>
      </w:r>
      <w:r w:rsidRPr="00545060">
        <w:rPr>
          <w:rFonts w:hint="cs"/>
          <w:shd w:val="clear" w:color="auto" w:fill="FFFFFF"/>
          <w:rtl/>
        </w:rPr>
        <w:t>מלשינות</w:t>
      </w:r>
      <w:r w:rsidRPr="00545060">
        <w:rPr>
          <w:shd w:val="clear" w:color="auto" w:fill="FFFFFF"/>
          <w:rtl/>
        </w:rPr>
        <w:t xml:space="preserve"> </w:t>
      </w:r>
      <w:r w:rsidRPr="00545060">
        <w:rPr>
          <w:rFonts w:hint="cs"/>
          <w:shd w:val="clear" w:color="auto" w:fill="FFFFFF"/>
          <w:rtl/>
        </w:rPr>
        <w:t>לשקר</w:t>
      </w:r>
      <w:r w:rsidRPr="00545060">
        <w:rPr>
          <w:shd w:val="clear" w:color="auto" w:fill="FFFFFF"/>
          <w:rtl/>
        </w:rPr>
        <w:t xml:space="preserve">, </w:t>
      </w:r>
      <w:r w:rsidRPr="00545060">
        <w:rPr>
          <w:rFonts w:hint="cs"/>
          <w:shd w:val="clear" w:color="auto" w:fill="FFFFFF"/>
          <w:rtl/>
        </w:rPr>
        <w:t>ומת</w:t>
      </w:r>
      <w:r w:rsidRPr="00545060">
        <w:rPr>
          <w:shd w:val="clear" w:color="auto" w:fill="FFFFFF"/>
          <w:rtl/>
        </w:rPr>
        <w:t xml:space="preserve">, </w:t>
      </w:r>
      <w:r w:rsidRPr="00545060">
        <w:rPr>
          <w:rFonts w:hint="cs"/>
          <w:shd w:val="clear" w:color="auto" w:fill="FFFFFF"/>
          <w:rtl/>
        </w:rPr>
        <w:t>גובה</w:t>
      </w:r>
      <w:r w:rsidRPr="00545060">
        <w:rPr>
          <w:shd w:val="clear" w:color="auto" w:fill="FFFFFF"/>
          <w:rtl/>
        </w:rPr>
        <w:t xml:space="preserve"> </w:t>
      </w:r>
      <w:r w:rsidRPr="00545060">
        <w:rPr>
          <w:rFonts w:hint="cs"/>
          <w:shd w:val="clear" w:color="auto" w:fill="FFFFFF"/>
          <w:rtl/>
        </w:rPr>
        <w:t>מהיורשים</w:t>
      </w:r>
      <w:r w:rsidRPr="00545060">
        <w:rPr>
          <w:shd w:val="clear" w:color="auto" w:fill="FFFFFF"/>
          <w:rtl/>
        </w:rPr>
        <w:t xml:space="preserve">. </w:t>
      </w:r>
      <w:r w:rsidRPr="00545060">
        <w:rPr>
          <w:rFonts w:hint="cs"/>
          <w:shd w:val="clear" w:color="auto" w:fill="FFFFFF"/>
          <w:rtl/>
        </w:rPr>
        <w:t>אבל</w:t>
      </w:r>
      <w:r w:rsidRPr="00545060">
        <w:rPr>
          <w:shd w:val="clear" w:color="auto" w:fill="FFFFFF"/>
          <w:rtl/>
        </w:rPr>
        <w:t xml:space="preserve"> </w:t>
      </w:r>
      <w:r w:rsidRPr="00545060">
        <w:rPr>
          <w:rFonts w:hint="cs"/>
          <w:shd w:val="clear" w:color="auto" w:fill="FFFFFF"/>
          <w:rtl/>
        </w:rPr>
        <w:t>אם</w:t>
      </w:r>
      <w:r w:rsidRPr="00545060">
        <w:rPr>
          <w:shd w:val="clear" w:color="auto" w:fill="FFFFFF"/>
          <w:rtl/>
        </w:rPr>
        <w:t xml:space="preserve"> </w:t>
      </w:r>
      <w:r w:rsidRPr="00545060">
        <w:rPr>
          <w:rFonts w:hint="cs"/>
          <w:shd w:val="clear" w:color="auto" w:fill="FFFFFF"/>
          <w:rtl/>
        </w:rPr>
        <w:t>חייבוהו</w:t>
      </w:r>
      <w:r w:rsidRPr="00545060">
        <w:rPr>
          <w:shd w:val="clear" w:color="auto" w:fill="FFFFFF"/>
          <w:rtl/>
        </w:rPr>
        <w:t xml:space="preserve"> </w:t>
      </w:r>
      <w:r w:rsidRPr="00545060">
        <w:rPr>
          <w:rFonts w:hint="cs"/>
          <w:shd w:val="clear" w:color="auto" w:fill="FFFFFF"/>
          <w:rtl/>
        </w:rPr>
        <w:t>קנס</w:t>
      </w:r>
      <w:r w:rsidRPr="00545060">
        <w:rPr>
          <w:shd w:val="clear" w:color="auto" w:fill="FFFFFF"/>
          <w:rtl/>
        </w:rPr>
        <w:t xml:space="preserve">, </w:t>
      </w:r>
      <w:r>
        <w:rPr>
          <w:rFonts w:hint="cs"/>
          <w:shd w:val="clear" w:color="auto" w:fill="FFFFFF"/>
          <w:rtl/>
        </w:rPr>
        <w:t>ל</w:t>
      </w:r>
      <w:r w:rsidRPr="00545060">
        <w:rPr>
          <w:rFonts w:hint="cs"/>
          <w:shd w:val="clear" w:color="auto" w:fill="FFFFFF"/>
          <w:rtl/>
        </w:rPr>
        <w:t>א</w:t>
      </w:r>
      <w:r w:rsidRPr="00545060">
        <w:rPr>
          <w:shd w:val="clear" w:color="auto" w:fill="FFFFFF"/>
          <w:rtl/>
        </w:rPr>
        <w:t xml:space="preserve"> </w:t>
      </w:r>
      <w:r w:rsidRPr="00545060">
        <w:rPr>
          <w:rFonts w:hint="cs"/>
          <w:shd w:val="clear" w:color="auto" w:fill="FFFFFF"/>
          <w:rtl/>
        </w:rPr>
        <w:t>קנסו</w:t>
      </w:r>
      <w:r w:rsidRPr="00545060">
        <w:rPr>
          <w:shd w:val="clear" w:color="auto" w:fill="FFFFFF"/>
          <w:rtl/>
        </w:rPr>
        <w:t xml:space="preserve"> </w:t>
      </w:r>
      <w:r w:rsidRPr="00545060">
        <w:rPr>
          <w:rFonts w:hint="cs"/>
          <w:shd w:val="clear" w:color="auto" w:fill="FFFFFF"/>
          <w:rtl/>
        </w:rPr>
        <w:t>בנו</w:t>
      </w:r>
      <w:r w:rsidRPr="00545060">
        <w:rPr>
          <w:shd w:val="clear" w:color="auto" w:fill="FFFFFF"/>
          <w:rtl/>
        </w:rPr>
        <w:t xml:space="preserve"> </w:t>
      </w:r>
      <w:r w:rsidRPr="00545060">
        <w:rPr>
          <w:rFonts w:hint="cs"/>
          <w:shd w:val="clear" w:color="auto" w:fill="FFFFFF"/>
          <w:rtl/>
        </w:rPr>
        <w:t>אחריו</w:t>
      </w:r>
      <w:r>
        <w:rPr>
          <w:rFonts w:hint="cs"/>
          <w:shd w:val="clear" w:color="auto" w:fill="FFFFFF"/>
          <w:rtl/>
        </w:rPr>
        <w:t>.</w:t>
      </w:r>
      <w:r>
        <w:rPr>
          <w:rStyle w:val="a6"/>
          <w:shd w:val="clear" w:color="auto" w:fill="FFFFFF"/>
          <w:rtl/>
        </w:rPr>
        <w:footnoteReference w:id="5"/>
      </w:r>
    </w:p>
    <w:p w:rsidR="00152CFA" w:rsidRDefault="00AE48F1" w:rsidP="00152CFA">
      <w:pPr>
        <w:rPr>
          <w:shd w:val="clear" w:color="auto" w:fill="FFFFFF"/>
          <w:rtl/>
        </w:rPr>
      </w:pPr>
      <w:r>
        <w:rPr>
          <w:rFonts w:hint="cs"/>
          <w:shd w:val="clear" w:color="auto" w:fill="FFFFFF"/>
          <w:rtl/>
        </w:rPr>
        <w:t xml:space="preserve">לכאורה, פסיקה זו מלמדת שאין לדרוש מן היורשים לשלם את הקנס שהוטל על האב בשל ביצוע העבירה. אולם, </w:t>
      </w:r>
      <w:r w:rsidR="00152CFA">
        <w:rPr>
          <w:rFonts w:hint="cs"/>
          <w:shd w:val="clear" w:color="auto" w:fill="FFFFFF"/>
          <w:rtl/>
        </w:rPr>
        <w:t xml:space="preserve">הפוסקים חלוקים בשאלה, האם העיקרון שלפיו אין מטילים על היורשים קנסות שהתחייב בהן אביהם חל רק </w:t>
      </w:r>
      <w:r w:rsidR="00152CFA" w:rsidRPr="006B2425">
        <w:rPr>
          <w:rFonts w:hint="cs"/>
          <w:b/>
          <w:bCs/>
          <w:shd w:val="clear" w:color="auto" w:fill="FFFFFF"/>
          <w:rtl/>
        </w:rPr>
        <w:t>לפני</w:t>
      </w:r>
      <w:r w:rsidR="00152CFA">
        <w:rPr>
          <w:rFonts w:hint="cs"/>
          <w:shd w:val="clear" w:color="auto" w:fill="FFFFFF"/>
          <w:rtl/>
        </w:rPr>
        <w:t xml:space="preserve"> שנגמר דינו ונגזר על האב לשלם את הקנס, או אף לאחר מכן.</w:t>
      </w:r>
    </w:p>
    <w:p w:rsidR="00152CFA" w:rsidRDefault="00152CFA" w:rsidP="00152CFA">
      <w:pPr>
        <w:rPr>
          <w:shd w:val="clear" w:color="auto" w:fill="FFFFFF"/>
          <w:rtl/>
        </w:rPr>
      </w:pPr>
      <w:r>
        <w:rPr>
          <w:rFonts w:hint="cs"/>
          <w:shd w:val="clear" w:color="auto" w:fill="FFFFFF"/>
          <w:rtl/>
        </w:rPr>
        <w:t xml:space="preserve">לדעת הרב יהושע </w:t>
      </w:r>
      <w:proofErr w:type="spellStart"/>
      <w:r>
        <w:rPr>
          <w:rFonts w:hint="cs"/>
          <w:shd w:val="clear" w:color="auto" w:fill="FFFFFF"/>
          <w:rtl/>
        </w:rPr>
        <w:t>פלק</w:t>
      </w:r>
      <w:proofErr w:type="spellEnd"/>
      <w:r>
        <w:rPr>
          <w:rFonts w:hint="cs"/>
          <w:shd w:val="clear" w:color="auto" w:fill="FFFFFF"/>
          <w:rtl/>
        </w:rPr>
        <w:t xml:space="preserve"> </w:t>
      </w:r>
      <w:proofErr w:type="spellStart"/>
      <w:r>
        <w:rPr>
          <w:rFonts w:hint="cs"/>
          <w:shd w:val="clear" w:color="auto" w:fill="FFFFFF"/>
          <w:rtl/>
        </w:rPr>
        <w:t>כ"ץ</w:t>
      </w:r>
      <w:proofErr w:type="spellEnd"/>
      <w:r>
        <w:rPr>
          <w:rFonts w:hint="cs"/>
          <w:shd w:val="clear" w:color="auto" w:fill="FFFFFF"/>
          <w:rtl/>
        </w:rPr>
        <w:t>, מן החשובים שבמפרשי השולחן ערוך, בן המאה ה-16, אין מטילים על היורשים לשלם את הקנסות התחייב בהן אביהם, "</w:t>
      </w:r>
      <w:r w:rsidRPr="00625F64">
        <w:rPr>
          <w:rFonts w:hint="cs"/>
          <w:shd w:val="clear" w:color="auto" w:fill="FFFFFF"/>
          <w:rtl/>
        </w:rPr>
        <w:t>אפילו</w:t>
      </w:r>
      <w:r w:rsidRPr="00625F64">
        <w:rPr>
          <w:shd w:val="clear" w:color="auto" w:fill="FFFFFF"/>
          <w:rtl/>
        </w:rPr>
        <w:t xml:space="preserve"> </w:t>
      </w:r>
      <w:r w:rsidRPr="00625F64">
        <w:rPr>
          <w:rFonts w:hint="cs"/>
          <w:shd w:val="clear" w:color="auto" w:fill="FFFFFF"/>
          <w:rtl/>
        </w:rPr>
        <w:t>עמד</w:t>
      </w:r>
      <w:r w:rsidRPr="00625F64">
        <w:rPr>
          <w:shd w:val="clear" w:color="auto" w:fill="FFFFFF"/>
          <w:rtl/>
        </w:rPr>
        <w:t xml:space="preserve"> </w:t>
      </w:r>
      <w:r w:rsidRPr="00625F64">
        <w:rPr>
          <w:rFonts w:hint="cs"/>
          <w:shd w:val="clear" w:color="auto" w:fill="FFFFFF"/>
          <w:rtl/>
        </w:rPr>
        <w:t>אביהן</w:t>
      </w:r>
      <w:r w:rsidRPr="00625F64">
        <w:rPr>
          <w:shd w:val="clear" w:color="auto" w:fill="FFFFFF"/>
          <w:rtl/>
        </w:rPr>
        <w:t xml:space="preserve"> </w:t>
      </w:r>
      <w:r w:rsidRPr="00625F64">
        <w:rPr>
          <w:rFonts w:hint="cs"/>
          <w:shd w:val="clear" w:color="auto" w:fill="FFFFFF"/>
          <w:rtl/>
        </w:rPr>
        <w:t>בדין</w:t>
      </w:r>
      <w:r>
        <w:rPr>
          <w:rFonts w:hint="cs"/>
          <w:shd w:val="clear" w:color="auto" w:fill="FFFFFF"/>
          <w:rtl/>
        </w:rPr>
        <w:t>".</w:t>
      </w:r>
      <w:r>
        <w:rPr>
          <w:rStyle w:val="a6"/>
          <w:shd w:val="clear" w:color="auto" w:fill="FFFFFF"/>
          <w:rtl/>
        </w:rPr>
        <w:footnoteReference w:id="6"/>
      </w:r>
    </w:p>
    <w:p w:rsidR="00130055" w:rsidRDefault="00130055" w:rsidP="00243D2E">
      <w:pPr>
        <w:rPr>
          <w:shd w:val="clear" w:color="auto" w:fill="FFFFFF"/>
          <w:rtl/>
        </w:rPr>
      </w:pPr>
      <w:r>
        <w:rPr>
          <w:rFonts w:hint="cs"/>
          <w:shd w:val="clear" w:color="auto" w:fill="FFFFFF"/>
          <w:rtl/>
        </w:rPr>
        <w:t>פסיקה זו מבוססת על תפיסה עקרונית שלפיה, ה'קנס', ככל עונש המוטל על העבריין, הוא נושא אופי אישי, ואם אבות אכלו בוסר, שיני בנים לא תקהינה.</w:t>
      </w:r>
      <w:r>
        <w:rPr>
          <w:rStyle w:val="a6"/>
          <w:shd w:val="clear" w:color="auto" w:fill="FFFFFF"/>
          <w:rtl/>
        </w:rPr>
        <w:footnoteReference w:id="7"/>
      </w:r>
      <w:r>
        <w:rPr>
          <w:rFonts w:hint="cs"/>
          <w:shd w:val="clear" w:color="auto" w:fill="FFFFFF"/>
          <w:rtl/>
        </w:rPr>
        <w:t xml:space="preserve"> כשם שאין אוסרים בניו של אדם אם האב נפטר לפני שנכנס למאסר, כך גם, אין דורשים מהם לפרוע קנסות שהוטלו על אביהם.</w:t>
      </w:r>
    </w:p>
    <w:p w:rsidR="00064C72" w:rsidRDefault="00130055" w:rsidP="00130055">
      <w:pPr>
        <w:rPr>
          <w:shd w:val="clear" w:color="auto" w:fill="FFFFFF"/>
          <w:rtl/>
        </w:rPr>
      </w:pPr>
      <w:r>
        <w:rPr>
          <w:rFonts w:hint="cs"/>
          <w:shd w:val="clear" w:color="auto" w:fill="FFFFFF"/>
          <w:rtl/>
        </w:rPr>
        <w:t xml:space="preserve">אולם, </w:t>
      </w:r>
      <w:r w:rsidR="00152CFA">
        <w:rPr>
          <w:rFonts w:hint="cs"/>
          <w:shd w:val="clear" w:color="auto" w:fill="FFFFFF"/>
          <w:rtl/>
        </w:rPr>
        <w:t>הרב שבתי כהן, אף הוא מן החשובים שבמפרשי השולחן ערוך, בן המאה ה-17, סבר שאם העבריין שנקנס כבר עמד בדין ונגזר דינו לתת את הקנס, לאחר מותו יידרשו יורשיו לשלם את הקנס מן העיזבון</w:t>
      </w:r>
      <w:r w:rsidR="00AE48F1">
        <w:rPr>
          <w:rFonts w:hint="cs"/>
          <w:shd w:val="clear" w:color="auto" w:fill="FFFFFF"/>
          <w:rtl/>
        </w:rPr>
        <w:t>,</w:t>
      </w:r>
      <w:r w:rsidR="00152CFA">
        <w:rPr>
          <w:rStyle w:val="a6"/>
          <w:shd w:val="clear" w:color="auto" w:fill="FFFFFF"/>
          <w:rtl/>
        </w:rPr>
        <w:footnoteReference w:id="8"/>
      </w:r>
      <w:r w:rsidR="00AE48F1">
        <w:rPr>
          <w:rFonts w:hint="cs"/>
          <w:shd w:val="clear" w:color="auto" w:fill="FFFFFF"/>
          <w:rtl/>
        </w:rPr>
        <w:t xml:space="preserve"> ונראה שזו עמדת רוב הפוסקים.</w:t>
      </w:r>
      <w:r w:rsidR="00AE48F1">
        <w:rPr>
          <w:rStyle w:val="a6"/>
          <w:shd w:val="clear" w:color="auto" w:fill="FFFFFF"/>
          <w:rtl/>
        </w:rPr>
        <w:footnoteReference w:id="9"/>
      </w:r>
      <w:r>
        <w:rPr>
          <w:rFonts w:hint="cs"/>
          <w:shd w:val="clear" w:color="auto" w:fill="FFFFFF"/>
          <w:rtl/>
        </w:rPr>
        <w:t xml:space="preserve"> בהתאם לעמדה זו, נראה שמוטל על היורשים לפרוע חוב שמקורו בקנס שהוטל מכוחו של פסק דין חלוט.</w:t>
      </w:r>
    </w:p>
    <w:p w:rsidR="00064C72" w:rsidRDefault="00093A87" w:rsidP="00093A87">
      <w:pPr>
        <w:pStyle w:val="3"/>
        <w:rPr>
          <w:shd w:val="clear" w:color="auto" w:fill="FFFFFF"/>
        </w:rPr>
      </w:pPr>
      <w:r>
        <w:rPr>
          <w:rFonts w:hint="cs"/>
          <w:shd w:val="clear" w:color="auto" w:fill="FFFFFF"/>
          <w:rtl/>
        </w:rPr>
        <w:t>קנסות שנועדו למנוע הנאה מפירותיו של החטא</w:t>
      </w:r>
    </w:p>
    <w:p w:rsidR="0036279B" w:rsidRDefault="00093A87" w:rsidP="0036279B">
      <w:pPr>
        <w:rPr>
          <w:shd w:val="clear" w:color="auto" w:fill="FFFFFF"/>
          <w:rtl/>
        </w:rPr>
      </w:pPr>
      <w:r>
        <w:rPr>
          <w:rFonts w:hint="cs"/>
          <w:shd w:val="clear" w:color="auto" w:fill="FFFFFF"/>
          <w:rtl/>
        </w:rPr>
        <w:t xml:space="preserve">ישנם קנסות שתכליתם היא, למנוע מאדם ליהנות מפירותיה של העבירה. </w:t>
      </w:r>
      <w:r w:rsidR="0036279B">
        <w:rPr>
          <w:rFonts w:hint="cs"/>
          <w:shd w:val="clear" w:color="auto" w:fill="FFFFFF"/>
          <w:rtl/>
        </w:rPr>
        <w:t>בקנסות מסוג זה נשאלה השאלה, האם יש להטיל את הקנס גם על יורשיו של העבריין, על מנת למנוע מהם ליהנות מפירות העבירה שביצע אביהם?</w:t>
      </w:r>
      <w:r w:rsidR="00152CFA">
        <w:rPr>
          <w:rStyle w:val="a6"/>
          <w:shd w:val="clear" w:color="auto" w:fill="FFFFFF"/>
          <w:rtl/>
        </w:rPr>
        <w:footnoteReference w:id="10"/>
      </w:r>
      <w:r w:rsidR="0036279B">
        <w:rPr>
          <w:rFonts w:hint="cs"/>
          <w:shd w:val="clear" w:color="auto" w:fill="FFFFFF"/>
          <w:rtl/>
        </w:rPr>
        <w:t xml:space="preserve"> </w:t>
      </w:r>
    </w:p>
    <w:p w:rsidR="00152CFA" w:rsidRDefault="0036279B" w:rsidP="0036279B">
      <w:pPr>
        <w:rPr>
          <w:shd w:val="clear" w:color="auto" w:fill="FFFFFF"/>
          <w:rtl/>
        </w:rPr>
      </w:pPr>
      <w:r>
        <w:rPr>
          <w:rFonts w:hint="cs"/>
          <w:shd w:val="clear" w:color="auto" w:fill="FFFFFF"/>
          <w:rtl/>
        </w:rPr>
        <w:t>דוגמה לקנס מסוג זה, הרלבנטית במיוחד לשנה הקרובה, שנת השמיטה היא ההלכה האוסרת על אדם לזרוע בשנה השמינית שדה שנחרשה בניגוד לדין, בשנת השמיטה.</w:t>
      </w:r>
      <w:r w:rsidR="00152CFA">
        <w:rPr>
          <w:rStyle w:val="a6"/>
          <w:shd w:val="clear" w:color="auto" w:fill="FFFFFF"/>
          <w:rtl/>
        </w:rPr>
        <w:footnoteReference w:id="11"/>
      </w:r>
      <w:r>
        <w:rPr>
          <w:rFonts w:hint="cs"/>
          <w:shd w:val="clear" w:color="auto" w:fill="FFFFFF"/>
          <w:rtl/>
        </w:rPr>
        <w:t xml:space="preserve"> איסור זה הוא קנס, שנועד למנוע מן העבריין ליהנות מפירותיה של העבירה. בהקשר זה נפסק ש"א</w:t>
      </w:r>
      <w:r w:rsidRPr="005F120D">
        <w:rPr>
          <w:rFonts w:hint="cs"/>
          <w:shd w:val="clear" w:color="auto" w:fill="FFFFFF"/>
          <w:rtl/>
        </w:rPr>
        <w:t>ם</w:t>
      </w:r>
      <w:r w:rsidRPr="005F120D">
        <w:rPr>
          <w:shd w:val="clear" w:color="auto" w:fill="FFFFFF"/>
          <w:rtl/>
        </w:rPr>
        <w:t xml:space="preserve"> </w:t>
      </w:r>
      <w:r w:rsidRPr="005F120D">
        <w:rPr>
          <w:rFonts w:hint="cs"/>
          <w:shd w:val="clear" w:color="auto" w:fill="FFFFFF"/>
          <w:rtl/>
        </w:rPr>
        <w:t>מת</w:t>
      </w:r>
      <w:r>
        <w:rPr>
          <w:rFonts w:hint="cs"/>
          <w:shd w:val="clear" w:color="auto" w:fill="FFFFFF"/>
          <w:rtl/>
        </w:rPr>
        <w:t xml:space="preserve"> </w:t>
      </w:r>
      <w:r>
        <w:rPr>
          <w:shd w:val="clear" w:color="auto" w:fill="FFFFFF"/>
          <w:rtl/>
        </w:rPr>
        <w:t>–</w:t>
      </w:r>
      <w:r>
        <w:rPr>
          <w:rFonts w:hint="cs"/>
          <w:shd w:val="clear" w:color="auto" w:fill="FFFFFF"/>
          <w:rtl/>
        </w:rPr>
        <w:t xml:space="preserve"> </w:t>
      </w:r>
      <w:proofErr w:type="spellStart"/>
      <w:r w:rsidRPr="005F120D">
        <w:rPr>
          <w:rFonts w:hint="cs"/>
          <w:shd w:val="clear" w:color="auto" w:fill="FFFFFF"/>
          <w:rtl/>
        </w:rPr>
        <w:t>יזרענה</w:t>
      </w:r>
      <w:proofErr w:type="spellEnd"/>
      <w:r w:rsidRPr="005F120D">
        <w:rPr>
          <w:shd w:val="clear" w:color="auto" w:fill="FFFFFF"/>
          <w:rtl/>
        </w:rPr>
        <w:t xml:space="preserve"> </w:t>
      </w:r>
      <w:r w:rsidRPr="005F120D">
        <w:rPr>
          <w:rFonts w:hint="cs"/>
          <w:shd w:val="clear" w:color="auto" w:fill="FFFFFF"/>
          <w:rtl/>
        </w:rPr>
        <w:lastRenderedPageBreak/>
        <w:t>בנו</w:t>
      </w:r>
      <w:r>
        <w:rPr>
          <w:rFonts w:hint="cs"/>
          <w:shd w:val="clear" w:color="auto" w:fill="FFFFFF"/>
          <w:rtl/>
        </w:rPr>
        <w:t>".</w:t>
      </w:r>
      <w:r w:rsidR="00152CFA">
        <w:rPr>
          <w:rStyle w:val="a6"/>
          <w:shd w:val="clear" w:color="auto" w:fill="FFFFFF"/>
          <w:rtl/>
        </w:rPr>
        <w:footnoteReference w:id="12"/>
      </w:r>
      <w:r>
        <w:rPr>
          <w:rFonts w:hint="cs"/>
          <w:shd w:val="clear" w:color="auto" w:fill="FFFFFF"/>
          <w:rtl/>
        </w:rPr>
        <w:t xml:space="preserve"> כלומר, אם האב נפטר לאחר החריש, אין אוסרים על הבן לזרוע את השדה, </w:t>
      </w:r>
      <w:r w:rsidR="00152CFA">
        <w:rPr>
          <w:rFonts w:hint="cs"/>
          <w:shd w:val="clear" w:color="auto" w:fill="FFFFFF"/>
          <w:rtl/>
        </w:rPr>
        <w:t>אף שלמעשה, הבן נהנה מפירותיה של העבירה שביצע אביו.</w:t>
      </w:r>
    </w:p>
    <w:p w:rsidR="006B2425" w:rsidRDefault="00152CFA" w:rsidP="00AE48F1">
      <w:pPr>
        <w:rPr>
          <w:shd w:val="clear" w:color="auto" w:fill="FFFFFF"/>
          <w:rtl/>
        </w:rPr>
      </w:pPr>
      <w:r>
        <w:rPr>
          <w:rFonts w:hint="cs"/>
          <w:shd w:val="clear" w:color="auto" w:fill="FFFFFF"/>
          <w:rtl/>
        </w:rPr>
        <w:t>עיקרון זה יושם גם בקנסות דומים.</w:t>
      </w:r>
      <w:r>
        <w:rPr>
          <w:rStyle w:val="a6"/>
          <w:shd w:val="clear" w:color="auto" w:fill="FFFFFF"/>
          <w:rtl/>
        </w:rPr>
        <w:footnoteReference w:id="13"/>
      </w:r>
      <w:r>
        <w:rPr>
          <w:rFonts w:hint="cs"/>
          <w:shd w:val="clear" w:color="auto" w:fill="FFFFFF"/>
          <w:rtl/>
        </w:rPr>
        <w:t xml:space="preserve"> למדנו אפוא, שגם כאשר תכליתו של הקנס היא למנוע מן העבריין ליהנות מפירותיה של העבירה, אין מטילים קנס זה גם על יורשיו.</w:t>
      </w:r>
    </w:p>
    <w:p w:rsidR="00C13BD4" w:rsidRDefault="00C13BD4" w:rsidP="00C13BD4">
      <w:pPr>
        <w:pStyle w:val="2"/>
        <w:rPr>
          <w:shd w:val="clear" w:color="auto" w:fill="FFFFFF"/>
          <w:rtl/>
        </w:rPr>
      </w:pPr>
      <w:r>
        <w:rPr>
          <w:rFonts w:hint="cs"/>
          <w:shd w:val="clear" w:color="auto" w:fill="FFFFFF"/>
          <w:rtl/>
        </w:rPr>
        <w:t>כללי הקדימה בפירעון חובות מן העיזבון</w:t>
      </w:r>
    </w:p>
    <w:p w:rsidR="009E22AF" w:rsidRPr="009E22AF" w:rsidRDefault="009E22AF" w:rsidP="009F4B3F">
      <w:pPr>
        <w:rPr>
          <w:rtl/>
        </w:rPr>
      </w:pPr>
      <w:r>
        <w:rPr>
          <w:rFonts w:hint="cs"/>
          <w:rtl/>
        </w:rPr>
        <w:t>לפי המשפט העברי, כללי הקדימה בפירעון חובות מושפעים משלושה גורמים: מועד התגבשותו של החוב, המקור הנורמטיבי שלו</w:t>
      </w:r>
      <w:r w:rsidR="009F4B3F">
        <w:rPr>
          <w:rFonts w:hint="cs"/>
          <w:rtl/>
        </w:rPr>
        <w:t xml:space="preserve"> וקיומן של תקנות ייחודיות שנועדו ל</w:t>
      </w:r>
      <w:r w:rsidR="006E748D">
        <w:rPr>
          <w:rFonts w:hint="cs"/>
          <w:rtl/>
        </w:rPr>
        <w:t>העדיף נושה אחד על נושה אחר</w:t>
      </w:r>
      <w:r>
        <w:rPr>
          <w:rFonts w:hint="cs"/>
          <w:rtl/>
        </w:rPr>
        <w:t>.</w:t>
      </w:r>
    </w:p>
    <w:p w:rsidR="007F676E" w:rsidRPr="009E22AF" w:rsidRDefault="009E22AF" w:rsidP="009E22AF">
      <w:pPr>
        <w:pStyle w:val="3"/>
        <w:numPr>
          <w:ilvl w:val="0"/>
          <w:numId w:val="8"/>
        </w:numPr>
        <w:rPr>
          <w:shd w:val="clear" w:color="auto" w:fill="FFFFFF"/>
          <w:rtl/>
        </w:rPr>
      </w:pPr>
      <w:r>
        <w:rPr>
          <w:rFonts w:hint="cs"/>
          <w:shd w:val="clear" w:color="auto" w:fill="FFFFFF"/>
          <w:rtl/>
        </w:rPr>
        <w:t>מועד התגבשותו של החוב</w:t>
      </w:r>
    </w:p>
    <w:p w:rsidR="007F676E" w:rsidRDefault="007F676E" w:rsidP="00213695">
      <w:pPr>
        <w:rPr>
          <w:shd w:val="clear" w:color="auto" w:fill="FFFFFF"/>
          <w:rtl/>
        </w:rPr>
      </w:pPr>
      <w:r w:rsidRPr="007F676E">
        <w:rPr>
          <w:rFonts w:hint="cs"/>
          <w:shd w:val="clear" w:color="auto" w:fill="FFFFFF"/>
          <w:rtl/>
        </w:rPr>
        <w:t>הגורם</w:t>
      </w:r>
      <w:r>
        <w:rPr>
          <w:rFonts w:hint="cs"/>
          <w:shd w:val="clear" w:color="auto" w:fill="FFFFFF"/>
          <w:rtl/>
        </w:rPr>
        <w:t xml:space="preserve"> המשמעותי ביותר בכל הנוגע לדיני הקדימה בפירעון חובות קשור למועד התגבשותו של החוב. וכך פוסק בעניין זה ה'שולחן ערוך' </w:t>
      </w:r>
      <w:r>
        <w:rPr>
          <w:shd w:val="clear" w:color="auto" w:fill="FFFFFF"/>
          <w:rtl/>
        </w:rPr>
        <w:t>–</w:t>
      </w:r>
      <w:r>
        <w:rPr>
          <w:rFonts w:hint="cs"/>
          <w:shd w:val="clear" w:color="auto" w:fill="FFFFFF"/>
          <w:rtl/>
        </w:rPr>
        <w:t xml:space="preserve"> </w:t>
      </w:r>
    </w:p>
    <w:p w:rsidR="007F676E" w:rsidRPr="00AE48F1" w:rsidRDefault="00AE48F1" w:rsidP="00AE48F1">
      <w:pPr>
        <w:ind w:left="567" w:right="567"/>
        <w:rPr>
          <w:shd w:val="clear" w:color="auto" w:fill="FFFFFF"/>
          <w:rtl/>
        </w:rPr>
      </w:pPr>
      <w:r w:rsidRPr="00AE48F1">
        <w:rPr>
          <w:rFonts w:hint="cs"/>
          <w:shd w:val="clear" w:color="auto" w:fill="FFFFFF"/>
          <w:rtl/>
        </w:rPr>
        <w:t>מי</w:t>
      </w:r>
      <w:r w:rsidRPr="00AE48F1">
        <w:rPr>
          <w:shd w:val="clear" w:color="auto" w:fill="FFFFFF"/>
          <w:rtl/>
        </w:rPr>
        <w:t xml:space="preserve"> </w:t>
      </w:r>
      <w:r w:rsidRPr="00AE48F1">
        <w:rPr>
          <w:rFonts w:hint="cs"/>
          <w:shd w:val="clear" w:color="auto" w:fill="FFFFFF"/>
          <w:rtl/>
        </w:rPr>
        <w:t>שיש</w:t>
      </w:r>
      <w:r w:rsidRPr="00AE48F1">
        <w:rPr>
          <w:shd w:val="clear" w:color="auto" w:fill="FFFFFF"/>
          <w:rtl/>
        </w:rPr>
        <w:t xml:space="preserve"> </w:t>
      </w:r>
      <w:r w:rsidRPr="00AE48F1">
        <w:rPr>
          <w:rFonts w:hint="cs"/>
          <w:shd w:val="clear" w:color="auto" w:fill="FFFFFF"/>
          <w:rtl/>
        </w:rPr>
        <w:t>עליו</w:t>
      </w:r>
      <w:r w:rsidRPr="00AE48F1">
        <w:rPr>
          <w:shd w:val="clear" w:color="auto" w:fill="FFFFFF"/>
          <w:rtl/>
        </w:rPr>
        <w:t xml:space="preserve"> </w:t>
      </w:r>
      <w:r w:rsidRPr="00AE48F1">
        <w:rPr>
          <w:rFonts w:hint="cs"/>
          <w:shd w:val="clear" w:color="auto" w:fill="FFFFFF"/>
          <w:rtl/>
        </w:rPr>
        <w:t>בעלי</w:t>
      </w:r>
      <w:r w:rsidRPr="00AE48F1">
        <w:rPr>
          <w:shd w:val="clear" w:color="auto" w:fill="FFFFFF"/>
          <w:rtl/>
        </w:rPr>
        <w:t xml:space="preserve"> </w:t>
      </w:r>
      <w:r w:rsidRPr="00AE48F1">
        <w:rPr>
          <w:rFonts w:hint="cs"/>
          <w:shd w:val="clear" w:color="auto" w:fill="FFFFFF"/>
          <w:rtl/>
        </w:rPr>
        <w:t>חובות</w:t>
      </w:r>
      <w:r w:rsidRPr="00AE48F1">
        <w:rPr>
          <w:shd w:val="clear" w:color="auto" w:fill="FFFFFF"/>
          <w:rtl/>
        </w:rPr>
        <w:t xml:space="preserve"> </w:t>
      </w:r>
      <w:r w:rsidRPr="00AE48F1">
        <w:rPr>
          <w:rFonts w:hint="cs"/>
          <w:shd w:val="clear" w:color="auto" w:fill="FFFFFF"/>
          <w:rtl/>
        </w:rPr>
        <w:t>הרבה</w:t>
      </w:r>
      <w:r w:rsidRPr="00AE48F1">
        <w:rPr>
          <w:shd w:val="clear" w:color="auto" w:fill="FFFFFF"/>
          <w:rtl/>
        </w:rPr>
        <w:t xml:space="preserve">, </w:t>
      </w:r>
      <w:r>
        <w:rPr>
          <w:rFonts w:hint="cs"/>
          <w:shd w:val="clear" w:color="auto" w:fill="FFFFFF"/>
          <w:rtl/>
        </w:rPr>
        <w:t>כל</w:t>
      </w:r>
      <w:r w:rsidRPr="00AE48F1">
        <w:rPr>
          <w:shd w:val="clear" w:color="auto" w:fill="FFFFFF"/>
          <w:rtl/>
        </w:rPr>
        <w:t xml:space="preserve"> </w:t>
      </w:r>
      <w:r w:rsidRPr="00AE48F1">
        <w:rPr>
          <w:rFonts w:hint="cs"/>
          <w:shd w:val="clear" w:color="auto" w:fill="FFFFFF"/>
          <w:rtl/>
        </w:rPr>
        <w:t>מי</w:t>
      </w:r>
      <w:r w:rsidRPr="00AE48F1">
        <w:rPr>
          <w:shd w:val="clear" w:color="auto" w:fill="FFFFFF"/>
          <w:rtl/>
        </w:rPr>
        <w:t xml:space="preserve"> </w:t>
      </w:r>
      <w:r w:rsidRPr="00AE48F1">
        <w:rPr>
          <w:rFonts w:hint="cs"/>
          <w:shd w:val="clear" w:color="auto" w:fill="FFFFFF"/>
          <w:rtl/>
        </w:rPr>
        <w:t>שקדם</w:t>
      </w:r>
      <w:r w:rsidRPr="00AE48F1">
        <w:rPr>
          <w:shd w:val="clear" w:color="auto" w:fill="FFFFFF"/>
          <w:rtl/>
        </w:rPr>
        <w:t xml:space="preserve"> </w:t>
      </w:r>
      <w:r w:rsidRPr="00AE48F1">
        <w:rPr>
          <w:rFonts w:hint="cs"/>
          <w:shd w:val="clear" w:color="auto" w:fill="FFFFFF"/>
          <w:rtl/>
        </w:rPr>
        <w:t>זמן</w:t>
      </w:r>
      <w:r w:rsidRPr="00AE48F1">
        <w:rPr>
          <w:shd w:val="clear" w:color="auto" w:fill="FFFFFF"/>
          <w:rtl/>
        </w:rPr>
        <w:t xml:space="preserve"> </w:t>
      </w:r>
      <w:r w:rsidRPr="00AE48F1">
        <w:rPr>
          <w:rFonts w:hint="cs"/>
          <w:shd w:val="clear" w:color="auto" w:fill="FFFFFF"/>
          <w:rtl/>
        </w:rPr>
        <w:t>קנין</w:t>
      </w:r>
      <w:r w:rsidRPr="00AE48F1">
        <w:rPr>
          <w:shd w:val="clear" w:color="auto" w:fill="FFFFFF"/>
          <w:rtl/>
        </w:rPr>
        <w:t xml:space="preserve"> </w:t>
      </w:r>
      <w:r w:rsidRPr="00AE48F1">
        <w:rPr>
          <w:rFonts w:hint="cs"/>
          <w:shd w:val="clear" w:color="auto" w:fill="FFFFFF"/>
          <w:rtl/>
        </w:rPr>
        <w:t>של</w:t>
      </w:r>
      <w:r w:rsidRPr="00AE48F1">
        <w:rPr>
          <w:shd w:val="clear" w:color="auto" w:fill="FFFFFF"/>
          <w:rtl/>
        </w:rPr>
        <w:t xml:space="preserve"> </w:t>
      </w:r>
      <w:r w:rsidRPr="00AE48F1">
        <w:rPr>
          <w:rFonts w:hint="cs"/>
          <w:shd w:val="clear" w:color="auto" w:fill="FFFFFF"/>
          <w:rtl/>
        </w:rPr>
        <w:t>שטרו</w:t>
      </w:r>
      <w:r w:rsidRPr="00AE48F1">
        <w:rPr>
          <w:shd w:val="clear" w:color="auto" w:fill="FFFFFF"/>
          <w:rtl/>
        </w:rPr>
        <w:t xml:space="preserve">, </w:t>
      </w:r>
      <w:r w:rsidRPr="00AE48F1">
        <w:rPr>
          <w:rFonts w:hint="cs"/>
          <w:shd w:val="clear" w:color="auto" w:fill="FFFFFF"/>
          <w:rtl/>
        </w:rPr>
        <w:t>קודם</w:t>
      </w:r>
      <w:r w:rsidRPr="00AE48F1">
        <w:rPr>
          <w:shd w:val="clear" w:color="auto" w:fill="FFFFFF"/>
          <w:rtl/>
        </w:rPr>
        <w:t xml:space="preserve"> </w:t>
      </w:r>
      <w:r w:rsidRPr="00AE48F1">
        <w:rPr>
          <w:rFonts w:hint="cs"/>
          <w:shd w:val="clear" w:color="auto" w:fill="FFFFFF"/>
          <w:rtl/>
        </w:rPr>
        <w:t>הוא</w:t>
      </w:r>
      <w:r w:rsidRPr="00AE48F1">
        <w:rPr>
          <w:shd w:val="clear" w:color="auto" w:fill="FFFFFF"/>
          <w:rtl/>
        </w:rPr>
        <w:t xml:space="preserve"> </w:t>
      </w:r>
      <w:r w:rsidRPr="00AE48F1">
        <w:rPr>
          <w:rFonts w:hint="cs"/>
          <w:shd w:val="clear" w:color="auto" w:fill="FFFFFF"/>
          <w:rtl/>
        </w:rPr>
        <w:t>לגבות</w:t>
      </w:r>
      <w:r w:rsidRPr="00AE48F1">
        <w:rPr>
          <w:shd w:val="clear" w:color="auto" w:fill="FFFFFF"/>
          <w:rtl/>
        </w:rPr>
        <w:t xml:space="preserve">, </w:t>
      </w:r>
      <w:r w:rsidRPr="00AE48F1">
        <w:rPr>
          <w:rFonts w:hint="cs"/>
          <w:shd w:val="clear" w:color="auto" w:fill="FFFFFF"/>
          <w:rtl/>
        </w:rPr>
        <w:t>בין</w:t>
      </w:r>
      <w:r w:rsidRPr="00AE48F1">
        <w:rPr>
          <w:shd w:val="clear" w:color="auto" w:fill="FFFFFF"/>
          <w:rtl/>
        </w:rPr>
        <w:t xml:space="preserve"> </w:t>
      </w:r>
      <w:r w:rsidRPr="00AE48F1">
        <w:rPr>
          <w:rFonts w:hint="cs"/>
          <w:shd w:val="clear" w:color="auto" w:fill="FFFFFF"/>
          <w:rtl/>
        </w:rPr>
        <w:t>קרקע</w:t>
      </w:r>
      <w:r w:rsidRPr="00AE48F1">
        <w:rPr>
          <w:shd w:val="clear" w:color="auto" w:fill="FFFFFF"/>
          <w:rtl/>
        </w:rPr>
        <w:t xml:space="preserve"> </w:t>
      </w:r>
      <w:r w:rsidRPr="00AE48F1">
        <w:rPr>
          <w:rFonts w:hint="cs"/>
          <w:shd w:val="clear" w:color="auto" w:fill="FFFFFF"/>
          <w:rtl/>
        </w:rPr>
        <w:t>בין</w:t>
      </w:r>
      <w:r w:rsidRPr="00AE48F1">
        <w:rPr>
          <w:shd w:val="clear" w:color="auto" w:fill="FFFFFF"/>
          <w:rtl/>
        </w:rPr>
        <w:t xml:space="preserve"> </w:t>
      </w:r>
      <w:r w:rsidRPr="00AE48F1">
        <w:rPr>
          <w:rFonts w:hint="cs"/>
          <w:shd w:val="clear" w:color="auto" w:fill="FFFFFF"/>
          <w:rtl/>
        </w:rPr>
        <w:t>מטלטלים</w:t>
      </w:r>
      <w:r>
        <w:rPr>
          <w:rFonts w:hint="cs"/>
          <w:shd w:val="clear" w:color="auto" w:fill="FFFFFF"/>
          <w:rtl/>
        </w:rPr>
        <w:t>.</w:t>
      </w:r>
      <w:r>
        <w:rPr>
          <w:rStyle w:val="a6"/>
          <w:shd w:val="clear" w:color="auto" w:fill="FFFFFF"/>
          <w:rtl/>
        </w:rPr>
        <w:footnoteReference w:id="14"/>
      </w:r>
    </w:p>
    <w:p w:rsidR="007F676E" w:rsidRDefault="00984235" w:rsidP="00984235">
      <w:pPr>
        <w:rPr>
          <w:shd w:val="clear" w:color="auto" w:fill="FFFFFF"/>
          <w:rtl/>
        </w:rPr>
      </w:pPr>
      <w:r>
        <w:rPr>
          <w:rFonts w:hint="cs"/>
          <w:shd w:val="clear" w:color="auto" w:fill="FFFFFF"/>
          <w:rtl/>
        </w:rPr>
        <w:t xml:space="preserve">מהלכה זו משתמע, שמועד התגבשותו של החוב הוא הקובע תמיד איזה חוב קודם. אולם, הפוסקים הסבירו שדברי השולחן ערוך בעניין זה מייצגים את ההלכה המקורית, מדאורייתא, אך "מדרבנן אין </w:t>
      </w:r>
      <w:proofErr w:type="spellStart"/>
      <w:r>
        <w:rPr>
          <w:rFonts w:hint="cs"/>
          <w:shd w:val="clear" w:color="auto" w:fill="FFFFFF"/>
          <w:rtl/>
        </w:rPr>
        <w:t>במטלטלין</w:t>
      </w:r>
      <w:proofErr w:type="spellEnd"/>
      <w:r>
        <w:rPr>
          <w:rFonts w:hint="cs"/>
          <w:shd w:val="clear" w:color="auto" w:fill="FFFFFF"/>
          <w:rtl/>
        </w:rPr>
        <w:t xml:space="preserve"> דין קדימה".</w:t>
      </w:r>
      <w:r>
        <w:rPr>
          <w:rStyle w:val="a6"/>
          <w:shd w:val="clear" w:color="auto" w:fill="FFFFFF"/>
          <w:rtl/>
        </w:rPr>
        <w:footnoteReference w:id="15"/>
      </w:r>
    </w:p>
    <w:p w:rsidR="009E22AF" w:rsidRDefault="00984235" w:rsidP="00984235">
      <w:pPr>
        <w:rPr>
          <w:shd w:val="clear" w:color="auto" w:fill="FFFFFF"/>
          <w:rtl/>
        </w:rPr>
      </w:pPr>
      <w:r>
        <w:rPr>
          <w:rFonts w:hint="cs"/>
          <w:shd w:val="clear" w:color="auto" w:fill="FFFFFF"/>
          <w:rtl/>
        </w:rPr>
        <w:t xml:space="preserve">משמעות הדברים היא, שמועד התגבשותו של החוב הוא משמעותי רק כאשר הנושה מבקש לפרוע חובו ממקרקעין. כאשר החוב אמור להיפרע </w:t>
      </w:r>
      <w:proofErr w:type="spellStart"/>
      <w:r>
        <w:rPr>
          <w:rFonts w:hint="cs"/>
          <w:shd w:val="clear" w:color="auto" w:fill="FFFFFF"/>
          <w:rtl/>
        </w:rPr>
        <w:t>ממטלטלין</w:t>
      </w:r>
      <w:proofErr w:type="spellEnd"/>
      <w:r>
        <w:rPr>
          <w:rFonts w:hint="cs"/>
          <w:shd w:val="clear" w:color="auto" w:fill="FFFFFF"/>
          <w:rtl/>
        </w:rPr>
        <w:t>, מועד התגבשותו של החוב אינו קובע דין קדימה</w:t>
      </w:r>
      <w:r w:rsidR="009E22AF">
        <w:rPr>
          <w:rFonts w:hint="cs"/>
          <w:shd w:val="clear" w:color="auto" w:fill="FFFFFF"/>
          <w:rtl/>
        </w:rPr>
        <w:t xml:space="preserve"> לחוב המוקדם.</w:t>
      </w:r>
      <w:r w:rsidR="00243D2E">
        <w:rPr>
          <w:rStyle w:val="a6"/>
          <w:shd w:val="clear" w:color="auto" w:fill="FFFFFF"/>
          <w:rtl/>
        </w:rPr>
        <w:footnoteReference w:id="16"/>
      </w:r>
    </w:p>
    <w:p w:rsidR="0058412C" w:rsidRDefault="0058412C" w:rsidP="0058412C">
      <w:pPr>
        <w:rPr>
          <w:shd w:val="clear" w:color="auto" w:fill="FFFFFF"/>
          <w:rtl/>
        </w:rPr>
      </w:pPr>
      <w:r>
        <w:rPr>
          <w:rFonts w:hint="cs"/>
          <w:shd w:val="clear" w:color="auto" w:fill="FFFFFF"/>
          <w:rtl/>
        </w:rPr>
        <w:t xml:space="preserve">אולם, החיוב החוזי אינו משעבד נכסים </w:t>
      </w:r>
      <w:r w:rsidR="00F7774F" w:rsidRPr="00F7774F">
        <w:rPr>
          <w:rFonts w:hint="cs"/>
          <w:shd w:val="clear" w:color="auto" w:fill="FFFFFF"/>
          <w:rtl/>
        </w:rPr>
        <w:t>מ</w:t>
      </w:r>
      <w:r>
        <w:rPr>
          <w:rFonts w:hint="cs"/>
          <w:shd w:val="clear" w:color="auto" w:fill="FFFFFF"/>
          <w:rtl/>
        </w:rPr>
        <w:t>י</w:t>
      </w:r>
      <w:r w:rsidR="00F7774F" w:rsidRPr="00F7774F">
        <w:rPr>
          <w:rFonts w:hint="cs"/>
          <w:shd w:val="clear" w:color="auto" w:fill="FFFFFF"/>
          <w:rtl/>
        </w:rPr>
        <w:t>טלטלין</w:t>
      </w:r>
      <w:r>
        <w:rPr>
          <w:rFonts w:hint="cs"/>
          <w:shd w:val="clear" w:color="auto" w:fill="FFFFFF"/>
          <w:rtl/>
        </w:rPr>
        <w:t>,</w:t>
      </w:r>
      <w:r w:rsidR="00F7774F" w:rsidRPr="00F7774F">
        <w:rPr>
          <w:shd w:val="clear" w:color="auto" w:fill="FFFFFF"/>
          <w:rtl/>
        </w:rPr>
        <w:t xml:space="preserve"> </w:t>
      </w:r>
      <w:r>
        <w:rPr>
          <w:rFonts w:hint="cs"/>
          <w:shd w:val="clear" w:color="auto" w:fill="FFFFFF"/>
          <w:rtl/>
        </w:rPr>
        <w:t>שלשינוי במעמדם אין תהודה רבה. לפיכך, אם קדם בעל חוב שהחיוב כלפיו הוא מאוחר ותפס מנכסיו המיטלטלין של החייב, אין הנושה שהחיוב כלפיו מוקדם בזמן, יכול להוציא את הנכסים שנתפסו מידיו של הנושה שתפס בהם.</w:t>
      </w:r>
      <w:r>
        <w:rPr>
          <w:rStyle w:val="a6"/>
          <w:shd w:val="clear" w:color="auto" w:fill="FFFFFF"/>
          <w:rtl/>
        </w:rPr>
        <w:footnoteReference w:id="17"/>
      </w:r>
      <w:r>
        <w:rPr>
          <w:rFonts w:hint="cs"/>
          <w:shd w:val="clear" w:color="auto" w:fill="FFFFFF"/>
          <w:rtl/>
        </w:rPr>
        <w:t xml:space="preserve"> </w:t>
      </w:r>
    </w:p>
    <w:p w:rsidR="00717EBF" w:rsidRDefault="0058412C" w:rsidP="009D266B">
      <w:pPr>
        <w:rPr>
          <w:shd w:val="clear" w:color="auto" w:fill="FFFFFF"/>
          <w:rtl/>
        </w:rPr>
      </w:pPr>
      <w:r>
        <w:rPr>
          <w:rFonts w:hint="cs"/>
          <w:shd w:val="clear" w:color="auto" w:fill="FFFFFF"/>
          <w:rtl/>
        </w:rPr>
        <w:t>אמנם, כ</w:t>
      </w:r>
      <w:r w:rsidR="009D266B">
        <w:rPr>
          <w:rFonts w:hint="cs"/>
          <w:shd w:val="clear" w:color="auto" w:fill="FFFFFF"/>
          <w:rtl/>
        </w:rPr>
        <w:t xml:space="preserve">אשר בית הדין הוא זה </w:t>
      </w:r>
      <w:r>
        <w:rPr>
          <w:rFonts w:hint="cs"/>
          <w:shd w:val="clear" w:color="auto" w:fill="FFFFFF"/>
          <w:rtl/>
        </w:rPr>
        <w:t>שמסדיר את פירעון החובות</w:t>
      </w:r>
      <w:r w:rsidR="009D266B">
        <w:rPr>
          <w:rFonts w:hint="cs"/>
          <w:shd w:val="clear" w:color="auto" w:fill="FFFFFF"/>
          <w:rtl/>
        </w:rPr>
        <w:t>, הכלל הוא, ש</w:t>
      </w:r>
      <w:r w:rsidR="00717EBF">
        <w:rPr>
          <w:rFonts w:hint="cs"/>
          <w:shd w:val="clear" w:color="auto" w:fill="FFFFFF"/>
          <w:rtl/>
        </w:rPr>
        <w:t>המיטלטלין העומדים לפירעון החוב יחולקו בשווה בין הנושים.</w:t>
      </w:r>
      <w:r w:rsidR="00717EBF">
        <w:rPr>
          <w:rStyle w:val="a6"/>
          <w:shd w:val="clear" w:color="auto" w:fill="FFFFFF"/>
          <w:rtl/>
        </w:rPr>
        <w:footnoteReference w:id="18"/>
      </w:r>
    </w:p>
    <w:p w:rsidR="00084329" w:rsidRDefault="00084329" w:rsidP="00084329">
      <w:pPr>
        <w:rPr>
          <w:shd w:val="clear" w:color="auto" w:fill="FFFFFF"/>
          <w:rtl/>
        </w:rPr>
      </w:pPr>
      <w:r>
        <w:rPr>
          <w:rFonts w:hint="cs"/>
          <w:shd w:val="clear" w:color="auto" w:fill="FFFFFF"/>
          <w:rtl/>
        </w:rPr>
        <w:lastRenderedPageBreak/>
        <w:t xml:space="preserve">יתר על כן, אף כאשר הגביה היא ממקרקעין, לדעת הרב </w:t>
      </w:r>
      <w:proofErr w:type="spellStart"/>
      <w:r>
        <w:rPr>
          <w:rFonts w:hint="cs"/>
          <w:shd w:val="clear" w:color="auto" w:fill="FFFFFF"/>
          <w:rtl/>
        </w:rPr>
        <w:t>פיינשטיין</w:t>
      </w:r>
      <w:proofErr w:type="spellEnd"/>
      <w:r>
        <w:rPr>
          <w:rFonts w:hint="cs"/>
          <w:shd w:val="clear" w:color="auto" w:fill="FFFFFF"/>
          <w:rtl/>
        </w:rPr>
        <w:t>, מגדולי הפוסקים במאה העשרים, בימינו אין למועד התגבשותו של החוב משמעות משום ש"</w:t>
      </w:r>
      <w:r w:rsidRPr="00084329">
        <w:rPr>
          <w:rFonts w:hint="cs"/>
          <w:shd w:val="clear" w:color="auto" w:fill="FFFFFF"/>
          <w:rtl/>
        </w:rPr>
        <w:t>שעבוד</w:t>
      </w:r>
      <w:r w:rsidRPr="00084329">
        <w:rPr>
          <w:shd w:val="clear" w:color="auto" w:fill="FFFFFF"/>
          <w:rtl/>
        </w:rPr>
        <w:t xml:space="preserve"> </w:t>
      </w:r>
      <w:r w:rsidRPr="00084329">
        <w:rPr>
          <w:rFonts w:hint="cs"/>
          <w:shd w:val="clear" w:color="auto" w:fill="FFFFFF"/>
          <w:rtl/>
        </w:rPr>
        <w:t>תלוי</w:t>
      </w:r>
      <w:r w:rsidRPr="00084329">
        <w:rPr>
          <w:shd w:val="clear" w:color="auto" w:fill="FFFFFF"/>
          <w:rtl/>
        </w:rPr>
        <w:t xml:space="preserve"> </w:t>
      </w:r>
      <w:r w:rsidRPr="00084329">
        <w:rPr>
          <w:rFonts w:hint="cs"/>
          <w:shd w:val="clear" w:color="auto" w:fill="FFFFFF"/>
          <w:rtl/>
        </w:rPr>
        <w:t>בסמיכות</w:t>
      </w:r>
      <w:r w:rsidRPr="00084329">
        <w:rPr>
          <w:shd w:val="clear" w:color="auto" w:fill="FFFFFF"/>
          <w:rtl/>
        </w:rPr>
        <w:t xml:space="preserve"> </w:t>
      </w:r>
      <w:r w:rsidRPr="00084329">
        <w:rPr>
          <w:rFonts w:hint="cs"/>
          <w:shd w:val="clear" w:color="auto" w:fill="FFFFFF"/>
          <w:rtl/>
        </w:rPr>
        <w:t>דעת</w:t>
      </w:r>
      <w:r w:rsidRPr="00084329">
        <w:rPr>
          <w:shd w:val="clear" w:color="auto" w:fill="FFFFFF"/>
          <w:rtl/>
        </w:rPr>
        <w:t xml:space="preserve"> </w:t>
      </w:r>
      <w:r w:rsidRPr="00084329">
        <w:rPr>
          <w:rFonts w:hint="cs"/>
          <w:shd w:val="clear" w:color="auto" w:fill="FFFFFF"/>
          <w:rtl/>
        </w:rPr>
        <w:t>של</w:t>
      </w:r>
      <w:r w:rsidRPr="00084329">
        <w:rPr>
          <w:shd w:val="clear" w:color="auto" w:fill="FFFFFF"/>
          <w:rtl/>
        </w:rPr>
        <w:t xml:space="preserve"> </w:t>
      </w:r>
      <w:r w:rsidRPr="00084329">
        <w:rPr>
          <w:rFonts w:hint="cs"/>
          <w:shd w:val="clear" w:color="auto" w:fill="FFFFFF"/>
          <w:rtl/>
        </w:rPr>
        <w:t>המלו</w:t>
      </w:r>
      <w:r>
        <w:rPr>
          <w:rFonts w:hint="cs"/>
          <w:shd w:val="clear" w:color="auto" w:fill="FFFFFF"/>
          <w:rtl/>
        </w:rPr>
        <w:t>ו</w:t>
      </w:r>
      <w:r w:rsidRPr="00084329">
        <w:rPr>
          <w:rFonts w:hint="cs"/>
          <w:shd w:val="clear" w:color="auto" w:fill="FFFFFF"/>
          <w:rtl/>
        </w:rPr>
        <w:t>ה</w:t>
      </w:r>
      <w:r w:rsidRPr="00084329">
        <w:rPr>
          <w:shd w:val="clear" w:color="auto" w:fill="FFFFFF"/>
          <w:rtl/>
        </w:rPr>
        <w:t xml:space="preserve"> </w:t>
      </w:r>
      <w:r w:rsidRPr="00084329">
        <w:rPr>
          <w:rFonts w:hint="cs"/>
          <w:shd w:val="clear" w:color="auto" w:fill="FFFFFF"/>
          <w:rtl/>
        </w:rPr>
        <w:t>ובו</w:t>
      </w:r>
      <w:r>
        <w:rPr>
          <w:rFonts w:hint="cs"/>
          <w:shd w:val="clear" w:color="auto" w:fill="FFFFFF"/>
          <w:rtl/>
        </w:rPr>
        <w:t>ו</w:t>
      </w:r>
      <w:r w:rsidRPr="00084329">
        <w:rPr>
          <w:rFonts w:hint="cs"/>
          <w:shd w:val="clear" w:color="auto" w:fill="FFFFFF"/>
          <w:rtl/>
        </w:rPr>
        <w:t>דאי</w:t>
      </w:r>
      <w:r w:rsidRPr="00084329">
        <w:rPr>
          <w:shd w:val="clear" w:color="auto" w:fill="FFFFFF"/>
          <w:rtl/>
        </w:rPr>
        <w:t xml:space="preserve"> </w:t>
      </w:r>
      <w:proofErr w:type="spellStart"/>
      <w:r w:rsidRPr="00084329">
        <w:rPr>
          <w:rFonts w:hint="cs"/>
          <w:shd w:val="clear" w:color="auto" w:fill="FFFFFF"/>
          <w:rtl/>
        </w:rPr>
        <w:t>ליכא</w:t>
      </w:r>
      <w:proofErr w:type="spellEnd"/>
      <w:r w:rsidRPr="00084329">
        <w:rPr>
          <w:shd w:val="clear" w:color="auto" w:fill="FFFFFF"/>
          <w:rtl/>
        </w:rPr>
        <w:t xml:space="preserve"> </w:t>
      </w:r>
      <w:r>
        <w:rPr>
          <w:rFonts w:hint="cs"/>
          <w:shd w:val="clear" w:color="auto" w:fill="FFFFFF"/>
          <w:rtl/>
        </w:rPr>
        <w:t xml:space="preserve">[=אין] </w:t>
      </w:r>
      <w:r w:rsidRPr="00084329">
        <w:rPr>
          <w:rFonts w:hint="cs"/>
          <w:shd w:val="clear" w:color="auto" w:fill="FFFFFF"/>
          <w:rtl/>
        </w:rPr>
        <w:t>סמיכות</w:t>
      </w:r>
      <w:r w:rsidRPr="00084329">
        <w:rPr>
          <w:shd w:val="clear" w:color="auto" w:fill="FFFFFF"/>
          <w:rtl/>
        </w:rPr>
        <w:t xml:space="preserve"> </w:t>
      </w:r>
      <w:r w:rsidRPr="00084329">
        <w:rPr>
          <w:rFonts w:hint="cs"/>
          <w:shd w:val="clear" w:color="auto" w:fill="FFFFFF"/>
          <w:rtl/>
        </w:rPr>
        <w:t>דעת</w:t>
      </w:r>
      <w:r w:rsidRPr="00084329">
        <w:rPr>
          <w:shd w:val="clear" w:color="auto" w:fill="FFFFFF"/>
          <w:rtl/>
        </w:rPr>
        <w:t xml:space="preserve"> </w:t>
      </w:r>
      <w:r w:rsidRPr="00084329">
        <w:rPr>
          <w:rFonts w:hint="cs"/>
          <w:shd w:val="clear" w:color="auto" w:fill="FFFFFF"/>
          <w:rtl/>
        </w:rPr>
        <w:t>כשערכאות</w:t>
      </w:r>
      <w:r w:rsidRPr="00084329">
        <w:rPr>
          <w:shd w:val="clear" w:color="auto" w:fill="FFFFFF"/>
          <w:rtl/>
        </w:rPr>
        <w:t xml:space="preserve"> </w:t>
      </w:r>
      <w:r w:rsidRPr="00084329">
        <w:rPr>
          <w:rFonts w:hint="cs"/>
          <w:shd w:val="clear" w:color="auto" w:fill="FFFFFF"/>
          <w:rtl/>
        </w:rPr>
        <w:t>המדינה</w:t>
      </w:r>
      <w:r w:rsidRPr="00084329">
        <w:rPr>
          <w:shd w:val="clear" w:color="auto" w:fill="FFFFFF"/>
          <w:rtl/>
        </w:rPr>
        <w:t xml:space="preserve"> </w:t>
      </w:r>
      <w:r w:rsidRPr="00084329">
        <w:rPr>
          <w:rFonts w:hint="cs"/>
          <w:shd w:val="clear" w:color="auto" w:fill="FFFFFF"/>
          <w:rtl/>
        </w:rPr>
        <w:t>לא</w:t>
      </w:r>
      <w:r w:rsidRPr="00084329">
        <w:rPr>
          <w:shd w:val="clear" w:color="auto" w:fill="FFFFFF"/>
          <w:rtl/>
        </w:rPr>
        <w:t xml:space="preserve"> </w:t>
      </w:r>
      <w:r w:rsidRPr="00084329">
        <w:rPr>
          <w:rFonts w:hint="cs"/>
          <w:shd w:val="clear" w:color="auto" w:fill="FFFFFF"/>
          <w:rtl/>
        </w:rPr>
        <w:t>יסכימו</w:t>
      </w:r>
      <w:r w:rsidRPr="00084329">
        <w:rPr>
          <w:shd w:val="clear" w:color="auto" w:fill="FFFFFF"/>
          <w:rtl/>
        </w:rPr>
        <w:t xml:space="preserve"> </w:t>
      </w:r>
      <w:r w:rsidRPr="00084329">
        <w:rPr>
          <w:rFonts w:hint="cs"/>
          <w:shd w:val="clear" w:color="auto" w:fill="FFFFFF"/>
          <w:rtl/>
        </w:rPr>
        <w:t>לזה</w:t>
      </w:r>
      <w:r>
        <w:rPr>
          <w:rFonts w:hint="cs"/>
          <w:shd w:val="clear" w:color="auto" w:fill="FFFFFF"/>
          <w:rtl/>
        </w:rPr>
        <w:t>".</w:t>
      </w:r>
      <w:r>
        <w:rPr>
          <w:rStyle w:val="a6"/>
          <w:shd w:val="clear" w:color="auto" w:fill="FFFFFF"/>
          <w:rtl/>
        </w:rPr>
        <w:footnoteReference w:id="19"/>
      </w:r>
      <w:r>
        <w:rPr>
          <w:rFonts w:hint="cs"/>
          <w:shd w:val="clear" w:color="auto" w:fill="FFFFFF"/>
          <w:rtl/>
        </w:rPr>
        <w:t xml:space="preserve">  </w:t>
      </w:r>
    </w:p>
    <w:p w:rsidR="00084329" w:rsidRDefault="00084329" w:rsidP="00084329">
      <w:pPr>
        <w:rPr>
          <w:shd w:val="clear" w:color="auto" w:fill="FFFFFF"/>
          <w:rtl/>
        </w:rPr>
      </w:pPr>
      <w:r>
        <w:rPr>
          <w:rFonts w:hint="cs"/>
          <w:shd w:val="clear" w:color="auto" w:fill="FFFFFF"/>
          <w:rtl/>
        </w:rPr>
        <w:t>בהתאם לעמדה זו, בימנו, כאשר בית דין או בית משפט נדרש לחלק את העיזבון בין הנושים, למועד התגבשותו של החוב אין כל משמעות הלכתית.</w:t>
      </w:r>
    </w:p>
    <w:p w:rsidR="007F676E" w:rsidRPr="009E22AF" w:rsidRDefault="009E22AF" w:rsidP="009E22AF">
      <w:pPr>
        <w:pStyle w:val="3"/>
        <w:numPr>
          <w:ilvl w:val="0"/>
          <w:numId w:val="8"/>
        </w:numPr>
        <w:rPr>
          <w:shd w:val="clear" w:color="auto" w:fill="FFFFFF"/>
          <w:rtl/>
        </w:rPr>
      </w:pPr>
      <w:r>
        <w:rPr>
          <w:rFonts w:hint="cs"/>
          <w:shd w:val="clear" w:color="auto" w:fill="FFFFFF"/>
          <w:rtl/>
        </w:rPr>
        <w:t xml:space="preserve">מקורו הנורמטיבי של החוב </w:t>
      </w:r>
    </w:p>
    <w:p w:rsidR="009E22AF" w:rsidRDefault="009E22AF" w:rsidP="00C27AAB">
      <w:pPr>
        <w:rPr>
          <w:shd w:val="clear" w:color="auto" w:fill="FFFFFF"/>
          <w:rtl/>
        </w:rPr>
      </w:pPr>
      <w:r>
        <w:rPr>
          <w:rFonts w:hint="cs"/>
          <w:shd w:val="clear" w:color="auto" w:fill="FFFFFF"/>
          <w:rtl/>
        </w:rPr>
        <w:t>אחת השאלות השכיחות בתיקי גירושין שבמסגרתם נפסקים מזונות לטובת האישה היא, האם חיוב המזונות קודם לחיוב כספי של הבעל לנושה, כאשר החיוב האמור נוצר לאחר הנישואין</w:t>
      </w:r>
      <w:r w:rsidR="00800304">
        <w:rPr>
          <w:rFonts w:hint="cs"/>
          <w:shd w:val="clear" w:color="auto" w:fill="FFFFFF"/>
          <w:rtl/>
        </w:rPr>
        <w:t>?</w:t>
      </w:r>
    </w:p>
    <w:p w:rsidR="00190113" w:rsidRDefault="00190113" w:rsidP="00190113">
      <w:pPr>
        <w:rPr>
          <w:shd w:val="clear" w:color="auto" w:fill="FFFFFF"/>
          <w:rtl/>
        </w:rPr>
      </w:pPr>
      <w:proofErr w:type="spellStart"/>
      <w:r>
        <w:rPr>
          <w:rFonts w:hint="cs"/>
          <w:shd w:val="clear" w:color="auto" w:fill="FFFFFF"/>
          <w:rtl/>
        </w:rPr>
        <w:t>הרי"ף</w:t>
      </w:r>
      <w:proofErr w:type="spellEnd"/>
      <w:r>
        <w:rPr>
          <w:rStyle w:val="a6"/>
          <w:shd w:val="clear" w:color="auto" w:fill="FFFFFF"/>
          <w:rtl/>
        </w:rPr>
        <w:footnoteReference w:id="20"/>
      </w:r>
      <w:r>
        <w:rPr>
          <w:rFonts w:hint="cs"/>
          <w:shd w:val="clear" w:color="auto" w:fill="FFFFFF"/>
          <w:rtl/>
        </w:rPr>
        <w:t xml:space="preserve"> השיב על שאלה זו בשלילה, מן הטעם </w:t>
      </w:r>
      <w:proofErr w:type="spellStart"/>
      <w:r>
        <w:rPr>
          <w:rFonts w:hint="cs"/>
          <w:shd w:val="clear" w:color="auto" w:fill="FFFFFF"/>
          <w:rtl/>
        </w:rPr>
        <w:t>ש"</w:t>
      </w:r>
      <w:r w:rsidRPr="000D6B12">
        <w:rPr>
          <w:rFonts w:hint="cs"/>
          <w:shd w:val="clear" w:color="auto" w:fill="FFFFFF"/>
          <w:rtl/>
        </w:rPr>
        <w:t>שעבודא</w:t>
      </w:r>
      <w:proofErr w:type="spellEnd"/>
      <w:r w:rsidRPr="000D6B12">
        <w:rPr>
          <w:shd w:val="clear" w:color="auto" w:fill="FFFFFF"/>
          <w:rtl/>
        </w:rPr>
        <w:t xml:space="preserve"> </w:t>
      </w:r>
      <w:r w:rsidRPr="000D6B12">
        <w:rPr>
          <w:rFonts w:hint="cs"/>
          <w:shd w:val="clear" w:color="auto" w:fill="FFFFFF"/>
          <w:rtl/>
        </w:rPr>
        <w:t>דאורייתא</w:t>
      </w:r>
      <w:r>
        <w:rPr>
          <w:rFonts w:hint="cs"/>
          <w:shd w:val="clear" w:color="auto" w:fill="FFFFFF"/>
          <w:rtl/>
        </w:rPr>
        <w:t>...</w:t>
      </w:r>
      <w:r w:rsidRPr="000D6B12">
        <w:rPr>
          <w:shd w:val="clear" w:color="auto" w:fill="FFFFFF"/>
          <w:rtl/>
        </w:rPr>
        <w:t xml:space="preserve"> </w:t>
      </w:r>
      <w:r w:rsidRPr="000D6B12">
        <w:rPr>
          <w:rFonts w:hint="cs"/>
          <w:shd w:val="clear" w:color="auto" w:fill="FFFFFF"/>
          <w:rtl/>
        </w:rPr>
        <w:t>ומזונות</w:t>
      </w:r>
      <w:r w:rsidRPr="000D6B12">
        <w:rPr>
          <w:shd w:val="clear" w:color="auto" w:fill="FFFFFF"/>
          <w:rtl/>
        </w:rPr>
        <w:t xml:space="preserve"> </w:t>
      </w:r>
      <w:proofErr w:type="spellStart"/>
      <w:r w:rsidRPr="000D6B12">
        <w:rPr>
          <w:rFonts w:hint="cs"/>
          <w:shd w:val="clear" w:color="auto" w:fill="FFFFFF"/>
          <w:rtl/>
        </w:rPr>
        <w:t>אשה</w:t>
      </w:r>
      <w:proofErr w:type="spellEnd"/>
      <w:r w:rsidRPr="000D6B12">
        <w:rPr>
          <w:shd w:val="clear" w:color="auto" w:fill="FFFFFF"/>
          <w:rtl/>
        </w:rPr>
        <w:t xml:space="preserve"> </w:t>
      </w:r>
      <w:r w:rsidRPr="000D6B12">
        <w:rPr>
          <w:rFonts w:hint="cs"/>
          <w:shd w:val="clear" w:color="auto" w:fill="FFFFFF"/>
          <w:rtl/>
        </w:rPr>
        <w:t>ובנים</w:t>
      </w:r>
      <w:r w:rsidRPr="000D6B12">
        <w:rPr>
          <w:shd w:val="clear" w:color="auto" w:fill="FFFFFF"/>
          <w:rtl/>
        </w:rPr>
        <w:t xml:space="preserve"> </w:t>
      </w:r>
      <w:r w:rsidRPr="000D6B12">
        <w:rPr>
          <w:rFonts w:hint="cs"/>
          <w:shd w:val="clear" w:color="auto" w:fill="FFFFFF"/>
          <w:rtl/>
        </w:rPr>
        <w:t>מדרבנן</w:t>
      </w:r>
      <w:r w:rsidRPr="000D6B12">
        <w:rPr>
          <w:shd w:val="clear" w:color="auto" w:fill="FFFFFF"/>
          <w:rtl/>
        </w:rPr>
        <w:t xml:space="preserve">, </w:t>
      </w:r>
      <w:r w:rsidRPr="000D6B12">
        <w:rPr>
          <w:rFonts w:hint="cs"/>
          <w:shd w:val="clear" w:color="auto" w:fill="FFFFFF"/>
          <w:rtl/>
        </w:rPr>
        <w:t>הלכך</w:t>
      </w:r>
      <w:r w:rsidRPr="000D6B12">
        <w:rPr>
          <w:shd w:val="clear" w:color="auto" w:fill="FFFFFF"/>
          <w:rtl/>
        </w:rPr>
        <w:t xml:space="preserve"> </w:t>
      </w:r>
      <w:r w:rsidRPr="000D6B12">
        <w:rPr>
          <w:rFonts w:hint="cs"/>
          <w:shd w:val="clear" w:color="auto" w:fill="FFFFFF"/>
          <w:rtl/>
        </w:rPr>
        <w:t>אתי</w:t>
      </w:r>
      <w:r w:rsidRPr="000D6B12">
        <w:rPr>
          <w:shd w:val="clear" w:color="auto" w:fill="FFFFFF"/>
          <w:rtl/>
        </w:rPr>
        <w:t xml:space="preserve"> </w:t>
      </w:r>
      <w:proofErr w:type="spellStart"/>
      <w:r w:rsidRPr="000D6B12">
        <w:rPr>
          <w:rFonts w:hint="cs"/>
          <w:shd w:val="clear" w:color="auto" w:fill="FFFFFF"/>
          <w:rtl/>
        </w:rPr>
        <w:t>שעבודא</w:t>
      </w:r>
      <w:proofErr w:type="spellEnd"/>
      <w:r w:rsidRPr="000D6B12">
        <w:rPr>
          <w:shd w:val="clear" w:color="auto" w:fill="FFFFFF"/>
          <w:rtl/>
        </w:rPr>
        <w:t xml:space="preserve"> </w:t>
      </w:r>
      <w:r w:rsidRPr="000D6B12">
        <w:rPr>
          <w:rFonts w:hint="cs"/>
          <w:shd w:val="clear" w:color="auto" w:fill="FFFFFF"/>
          <w:rtl/>
        </w:rPr>
        <w:t>דאורייתא</w:t>
      </w:r>
      <w:r w:rsidRPr="000D6B12">
        <w:rPr>
          <w:shd w:val="clear" w:color="auto" w:fill="FFFFFF"/>
          <w:rtl/>
        </w:rPr>
        <w:t xml:space="preserve"> </w:t>
      </w:r>
      <w:r w:rsidRPr="000D6B12">
        <w:rPr>
          <w:rFonts w:hint="cs"/>
          <w:shd w:val="clear" w:color="auto" w:fill="FFFFFF"/>
          <w:rtl/>
        </w:rPr>
        <w:t>ומבטל</w:t>
      </w:r>
      <w:r w:rsidRPr="000D6B12">
        <w:rPr>
          <w:shd w:val="clear" w:color="auto" w:fill="FFFFFF"/>
          <w:rtl/>
        </w:rPr>
        <w:t xml:space="preserve"> </w:t>
      </w:r>
      <w:r w:rsidRPr="000D6B12">
        <w:rPr>
          <w:rFonts w:hint="cs"/>
          <w:shd w:val="clear" w:color="auto" w:fill="FFFFFF"/>
          <w:rtl/>
        </w:rPr>
        <w:t>דרבנן</w:t>
      </w:r>
      <w:r>
        <w:rPr>
          <w:rFonts w:hint="cs"/>
          <w:shd w:val="clear" w:color="auto" w:fill="FFFFFF"/>
          <w:rtl/>
        </w:rPr>
        <w:t xml:space="preserve"> [=בא שיעבוד שמן התורה ומבטל שיעבוד מדברי חכמים]". בעקבותיו פסק הרמב"ם,</w:t>
      </w:r>
      <w:r w:rsidR="00E27BBF">
        <w:rPr>
          <w:rStyle w:val="a6"/>
          <w:shd w:val="clear" w:color="auto" w:fill="FFFFFF"/>
          <w:rtl/>
        </w:rPr>
        <w:footnoteReference w:id="21"/>
      </w:r>
      <w:r>
        <w:rPr>
          <w:rFonts w:hint="cs"/>
          <w:shd w:val="clear" w:color="auto" w:fill="FFFFFF"/>
          <w:rtl/>
        </w:rPr>
        <w:t xml:space="preserve"> ש"</w:t>
      </w:r>
      <w:r w:rsidRPr="000D6B12">
        <w:rPr>
          <w:rFonts w:hint="cs"/>
          <w:shd w:val="clear" w:color="auto" w:fill="FFFFFF"/>
          <w:rtl/>
        </w:rPr>
        <w:t>מלוה</w:t>
      </w:r>
      <w:r w:rsidRPr="000D6B12">
        <w:rPr>
          <w:shd w:val="clear" w:color="auto" w:fill="FFFFFF"/>
          <w:rtl/>
        </w:rPr>
        <w:t xml:space="preserve"> </w:t>
      </w:r>
      <w:r w:rsidRPr="000D6B12">
        <w:rPr>
          <w:rFonts w:hint="cs"/>
          <w:shd w:val="clear" w:color="auto" w:fill="FFFFFF"/>
          <w:rtl/>
        </w:rPr>
        <w:t>שבא</w:t>
      </w:r>
      <w:r w:rsidRPr="000D6B12">
        <w:rPr>
          <w:shd w:val="clear" w:color="auto" w:fill="FFFFFF"/>
          <w:rtl/>
        </w:rPr>
        <w:t xml:space="preserve"> </w:t>
      </w:r>
      <w:r w:rsidRPr="000D6B12">
        <w:rPr>
          <w:rFonts w:hint="cs"/>
          <w:shd w:val="clear" w:color="auto" w:fill="FFFFFF"/>
          <w:rtl/>
        </w:rPr>
        <w:t>לה</w:t>
      </w:r>
      <w:r w:rsidR="006E748D">
        <w:rPr>
          <w:rFonts w:hint="cs"/>
          <w:shd w:val="clear" w:color="auto" w:fill="FFFFFF"/>
          <w:rtl/>
        </w:rPr>
        <w:t>י</w:t>
      </w:r>
      <w:r w:rsidRPr="000D6B12">
        <w:rPr>
          <w:rFonts w:hint="cs"/>
          <w:shd w:val="clear" w:color="auto" w:fill="FFFFFF"/>
          <w:rtl/>
        </w:rPr>
        <w:t>פרע</w:t>
      </w:r>
      <w:r w:rsidRPr="000D6B12">
        <w:rPr>
          <w:shd w:val="clear" w:color="auto" w:fill="FFFFFF"/>
          <w:rtl/>
        </w:rPr>
        <w:t xml:space="preserve"> </w:t>
      </w:r>
      <w:r w:rsidRPr="000D6B12">
        <w:rPr>
          <w:rFonts w:hint="cs"/>
          <w:shd w:val="clear" w:color="auto" w:fill="FFFFFF"/>
          <w:rtl/>
        </w:rPr>
        <w:t>שלא</w:t>
      </w:r>
      <w:r w:rsidRPr="000D6B12">
        <w:rPr>
          <w:shd w:val="clear" w:color="auto" w:fill="FFFFFF"/>
          <w:rtl/>
        </w:rPr>
        <w:t xml:space="preserve"> </w:t>
      </w:r>
      <w:r w:rsidRPr="000D6B12">
        <w:rPr>
          <w:rFonts w:hint="cs"/>
          <w:shd w:val="clear" w:color="auto" w:fill="FFFFFF"/>
          <w:rtl/>
        </w:rPr>
        <w:t>בפני</w:t>
      </w:r>
      <w:r w:rsidRPr="000D6B12">
        <w:rPr>
          <w:shd w:val="clear" w:color="auto" w:fill="FFFFFF"/>
          <w:rtl/>
        </w:rPr>
        <w:t xml:space="preserve"> </w:t>
      </w:r>
      <w:proofErr w:type="spellStart"/>
      <w:r w:rsidRPr="000D6B12">
        <w:rPr>
          <w:rFonts w:hint="cs"/>
          <w:shd w:val="clear" w:color="auto" w:fill="FFFFFF"/>
          <w:rtl/>
        </w:rPr>
        <w:t>הלוה</w:t>
      </w:r>
      <w:proofErr w:type="spellEnd"/>
      <w:r>
        <w:rPr>
          <w:rFonts w:hint="cs"/>
          <w:shd w:val="clear" w:color="auto" w:fill="FFFFFF"/>
          <w:rtl/>
        </w:rPr>
        <w:t>...</w:t>
      </w:r>
      <w:r w:rsidRPr="000D6B12">
        <w:rPr>
          <w:shd w:val="clear" w:color="auto" w:fill="FFFFFF"/>
          <w:rtl/>
        </w:rPr>
        <w:t xml:space="preserve"> </w:t>
      </w:r>
      <w:r w:rsidRPr="000D6B12">
        <w:rPr>
          <w:rFonts w:hint="cs"/>
          <w:shd w:val="clear" w:color="auto" w:fill="FFFFFF"/>
          <w:rtl/>
        </w:rPr>
        <w:t>ותפסה</w:t>
      </w:r>
      <w:r w:rsidRPr="000D6B12">
        <w:rPr>
          <w:shd w:val="clear" w:color="auto" w:fill="FFFFFF"/>
          <w:rtl/>
        </w:rPr>
        <w:t xml:space="preserve"> </w:t>
      </w:r>
      <w:proofErr w:type="spellStart"/>
      <w:r w:rsidRPr="000D6B12">
        <w:rPr>
          <w:rFonts w:hint="cs"/>
          <w:shd w:val="clear" w:color="auto" w:fill="FFFFFF"/>
          <w:rtl/>
        </w:rPr>
        <w:t>האשה</w:t>
      </w:r>
      <w:proofErr w:type="spellEnd"/>
      <w:r w:rsidRPr="000D6B12">
        <w:rPr>
          <w:shd w:val="clear" w:color="auto" w:fill="FFFFFF"/>
          <w:rtl/>
        </w:rPr>
        <w:t xml:space="preserve"> </w:t>
      </w:r>
      <w:proofErr w:type="spellStart"/>
      <w:r w:rsidRPr="000D6B12">
        <w:rPr>
          <w:rFonts w:hint="cs"/>
          <w:shd w:val="clear" w:color="auto" w:fill="FFFFFF"/>
          <w:rtl/>
        </w:rPr>
        <w:t>מטלטלין</w:t>
      </w:r>
      <w:proofErr w:type="spellEnd"/>
      <w:r w:rsidRPr="000D6B12">
        <w:rPr>
          <w:shd w:val="clear" w:color="auto" w:fill="FFFFFF"/>
          <w:rtl/>
        </w:rPr>
        <w:t xml:space="preserve"> </w:t>
      </w:r>
      <w:r w:rsidRPr="000D6B12">
        <w:rPr>
          <w:rFonts w:hint="cs"/>
          <w:shd w:val="clear" w:color="auto" w:fill="FFFFFF"/>
          <w:rtl/>
        </w:rPr>
        <w:t>מנכסי</w:t>
      </w:r>
      <w:r w:rsidRPr="000D6B12">
        <w:rPr>
          <w:shd w:val="clear" w:color="auto" w:fill="FFFFFF"/>
          <w:rtl/>
        </w:rPr>
        <w:t xml:space="preserve"> </w:t>
      </w:r>
      <w:r w:rsidRPr="000D6B12">
        <w:rPr>
          <w:rFonts w:hint="cs"/>
          <w:shd w:val="clear" w:color="auto" w:fill="FFFFFF"/>
          <w:rtl/>
        </w:rPr>
        <w:t>הבעל</w:t>
      </w:r>
      <w:r w:rsidRPr="000D6B12">
        <w:rPr>
          <w:shd w:val="clear" w:color="auto" w:fill="FFFFFF"/>
          <w:rtl/>
        </w:rPr>
        <w:t xml:space="preserve"> </w:t>
      </w:r>
      <w:r w:rsidRPr="000D6B12">
        <w:rPr>
          <w:rFonts w:hint="cs"/>
          <w:shd w:val="clear" w:color="auto" w:fill="FFFFFF"/>
          <w:rtl/>
        </w:rPr>
        <w:t>כדי</w:t>
      </w:r>
      <w:r w:rsidRPr="000D6B12">
        <w:rPr>
          <w:shd w:val="clear" w:color="auto" w:fill="FFFFFF"/>
          <w:rtl/>
        </w:rPr>
        <w:t xml:space="preserve"> </w:t>
      </w:r>
      <w:r w:rsidRPr="000D6B12">
        <w:rPr>
          <w:rFonts w:hint="cs"/>
          <w:shd w:val="clear" w:color="auto" w:fill="FFFFFF"/>
          <w:rtl/>
        </w:rPr>
        <w:t>שתזון</w:t>
      </w:r>
      <w:r w:rsidRPr="000D6B12">
        <w:rPr>
          <w:shd w:val="clear" w:color="auto" w:fill="FFFFFF"/>
          <w:rtl/>
        </w:rPr>
        <w:t xml:space="preserve"> </w:t>
      </w:r>
      <w:r w:rsidRPr="000D6B12">
        <w:rPr>
          <w:rFonts w:hint="cs"/>
          <w:shd w:val="clear" w:color="auto" w:fill="FFFFFF"/>
          <w:rtl/>
        </w:rPr>
        <w:t>מהן</w:t>
      </w:r>
      <w:r w:rsidRPr="000D6B12">
        <w:rPr>
          <w:shd w:val="clear" w:color="auto" w:fill="FFFFFF"/>
          <w:rtl/>
        </w:rPr>
        <w:t xml:space="preserve">, </w:t>
      </w:r>
      <w:proofErr w:type="spellStart"/>
      <w:r w:rsidRPr="000D6B12">
        <w:rPr>
          <w:rFonts w:hint="cs"/>
          <w:shd w:val="clear" w:color="auto" w:fill="FFFFFF"/>
          <w:rtl/>
        </w:rPr>
        <w:t>מוציאין</w:t>
      </w:r>
      <w:proofErr w:type="spellEnd"/>
      <w:r w:rsidRPr="000D6B12">
        <w:rPr>
          <w:shd w:val="clear" w:color="auto" w:fill="FFFFFF"/>
          <w:rtl/>
        </w:rPr>
        <w:t xml:space="preserve"> </w:t>
      </w:r>
      <w:r w:rsidRPr="000D6B12">
        <w:rPr>
          <w:rFonts w:hint="cs"/>
          <w:shd w:val="clear" w:color="auto" w:fill="FFFFFF"/>
          <w:rtl/>
        </w:rPr>
        <w:t>אותן</w:t>
      </w:r>
      <w:r w:rsidRPr="000D6B12">
        <w:rPr>
          <w:shd w:val="clear" w:color="auto" w:fill="FFFFFF"/>
          <w:rtl/>
        </w:rPr>
        <w:t xml:space="preserve"> </w:t>
      </w:r>
      <w:r w:rsidRPr="000D6B12">
        <w:rPr>
          <w:rFonts w:hint="cs"/>
          <w:shd w:val="clear" w:color="auto" w:fill="FFFFFF"/>
          <w:rtl/>
        </w:rPr>
        <w:t>מידה</w:t>
      </w:r>
      <w:r w:rsidRPr="000D6B12">
        <w:rPr>
          <w:shd w:val="clear" w:color="auto" w:fill="FFFFFF"/>
          <w:rtl/>
        </w:rPr>
        <w:t xml:space="preserve"> </w:t>
      </w:r>
      <w:proofErr w:type="spellStart"/>
      <w:r w:rsidRPr="000D6B12">
        <w:rPr>
          <w:rFonts w:hint="cs"/>
          <w:shd w:val="clear" w:color="auto" w:fill="FFFFFF"/>
          <w:rtl/>
        </w:rPr>
        <w:t>ונותנין</w:t>
      </w:r>
      <w:proofErr w:type="spellEnd"/>
      <w:r w:rsidRPr="000D6B12">
        <w:rPr>
          <w:shd w:val="clear" w:color="auto" w:fill="FFFFFF"/>
          <w:rtl/>
        </w:rPr>
        <w:t xml:space="preserve"> </w:t>
      </w:r>
      <w:r w:rsidRPr="000D6B12">
        <w:rPr>
          <w:rFonts w:hint="cs"/>
          <w:shd w:val="clear" w:color="auto" w:fill="FFFFFF"/>
          <w:rtl/>
        </w:rPr>
        <w:t>לבעל</w:t>
      </w:r>
      <w:r w:rsidRPr="000D6B12">
        <w:rPr>
          <w:shd w:val="clear" w:color="auto" w:fill="FFFFFF"/>
          <w:rtl/>
        </w:rPr>
        <w:t xml:space="preserve"> </w:t>
      </w:r>
      <w:r w:rsidRPr="000D6B12">
        <w:rPr>
          <w:rFonts w:hint="cs"/>
          <w:shd w:val="clear" w:color="auto" w:fill="FFFFFF"/>
          <w:rtl/>
        </w:rPr>
        <w:t>חוב</w:t>
      </w:r>
      <w:r w:rsidRPr="000D6B12">
        <w:rPr>
          <w:shd w:val="clear" w:color="auto" w:fill="FFFFFF"/>
          <w:rtl/>
        </w:rPr>
        <w:t xml:space="preserve">, </w:t>
      </w:r>
      <w:r w:rsidRPr="000D6B12">
        <w:rPr>
          <w:rFonts w:hint="cs"/>
          <w:shd w:val="clear" w:color="auto" w:fill="FFFFFF"/>
          <w:rtl/>
        </w:rPr>
        <w:t>שאפילו</w:t>
      </w:r>
      <w:r w:rsidRPr="000D6B12">
        <w:rPr>
          <w:shd w:val="clear" w:color="auto" w:fill="FFFFFF"/>
          <w:rtl/>
        </w:rPr>
        <w:t xml:space="preserve"> </w:t>
      </w:r>
      <w:r w:rsidRPr="000D6B12">
        <w:rPr>
          <w:rFonts w:hint="cs"/>
          <w:shd w:val="clear" w:color="auto" w:fill="FFFFFF"/>
          <w:rtl/>
        </w:rPr>
        <w:t>היה</w:t>
      </w:r>
      <w:r w:rsidRPr="000D6B12">
        <w:rPr>
          <w:shd w:val="clear" w:color="auto" w:fill="FFFFFF"/>
          <w:rtl/>
        </w:rPr>
        <w:t xml:space="preserve"> </w:t>
      </w:r>
      <w:r w:rsidRPr="000D6B12">
        <w:rPr>
          <w:rFonts w:hint="cs"/>
          <w:shd w:val="clear" w:color="auto" w:fill="FFFFFF"/>
          <w:rtl/>
        </w:rPr>
        <w:t>בעלה</w:t>
      </w:r>
      <w:r w:rsidRPr="000D6B12">
        <w:rPr>
          <w:shd w:val="clear" w:color="auto" w:fill="FFFFFF"/>
          <w:rtl/>
        </w:rPr>
        <w:t xml:space="preserve"> </w:t>
      </w:r>
      <w:r w:rsidRPr="000D6B12">
        <w:rPr>
          <w:rFonts w:hint="cs"/>
          <w:shd w:val="clear" w:color="auto" w:fill="FFFFFF"/>
          <w:rtl/>
        </w:rPr>
        <w:t>עומד</w:t>
      </w:r>
      <w:r w:rsidRPr="000D6B12">
        <w:rPr>
          <w:shd w:val="clear" w:color="auto" w:fill="FFFFFF"/>
          <w:rtl/>
        </w:rPr>
        <w:t xml:space="preserve"> </w:t>
      </w:r>
      <w:r w:rsidRPr="000D6B12">
        <w:rPr>
          <w:rFonts w:hint="cs"/>
          <w:shd w:val="clear" w:color="auto" w:fill="FFFFFF"/>
          <w:rtl/>
        </w:rPr>
        <w:t>לא</w:t>
      </w:r>
      <w:r w:rsidRPr="000D6B12">
        <w:rPr>
          <w:shd w:val="clear" w:color="auto" w:fill="FFFFFF"/>
          <w:rtl/>
        </w:rPr>
        <w:t xml:space="preserve"> </w:t>
      </w:r>
      <w:r w:rsidRPr="000D6B12">
        <w:rPr>
          <w:rFonts w:hint="cs"/>
          <w:shd w:val="clear" w:color="auto" w:fill="FFFFFF"/>
          <w:rtl/>
        </w:rPr>
        <w:t>היה</w:t>
      </w:r>
      <w:r w:rsidRPr="000D6B12">
        <w:rPr>
          <w:shd w:val="clear" w:color="auto" w:fill="FFFFFF"/>
          <w:rtl/>
        </w:rPr>
        <w:t xml:space="preserve"> </w:t>
      </w:r>
      <w:r w:rsidRPr="000D6B12">
        <w:rPr>
          <w:rFonts w:hint="cs"/>
          <w:shd w:val="clear" w:color="auto" w:fill="FFFFFF"/>
          <w:rtl/>
        </w:rPr>
        <w:t>יכול</w:t>
      </w:r>
      <w:r w:rsidRPr="000D6B12">
        <w:rPr>
          <w:shd w:val="clear" w:color="auto" w:fill="FFFFFF"/>
          <w:rtl/>
        </w:rPr>
        <w:t xml:space="preserve"> </w:t>
      </w:r>
      <w:r w:rsidRPr="000D6B12">
        <w:rPr>
          <w:rFonts w:hint="cs"/>
          <w:shd w:val="clear" w:color="auto" w:fill="FFFFFF"/>
          <w:rtl/>
        </w:rPr>
        <w:t>לזון</w:t>
      </w:r>
      <w:r w:rsidRPr="000D6B12">
        <w:rPr>
          <w:shd w:val="clear" w:color="auto" w:fill="FFFFFF"/>
          <w:rtl/>
        </w:rPr>
        <w:t xml:space="preserve"> </w:t>
      </w:r>
      <w:r w:rsidRPr="000D6B12">
        <w:rPr>
          <w:rFonts w:hint="cs"/>
          <w:shd w:val="clear" w:color="auto" w:fill="FFFFFF"/>
          <w:rtl/>
        </w:rPr>
        <w:t>את</w:t>
      </w:r>
      <w:r w:rsidRPr="000D6B12">
        <w:rPr>
          <w:shd w:val="clear" w:color="auto" w:fill="FFFFFF"/>
          <w:rtl/>
        </w:rPr>
        <w:t xml:space="preserve"> </w:t>
      </w:r>
      <w:r w:rsidRPr="000D6B12">
        <w:rPr>
          <w:rFonts w:hint="cs"/>
          <w:shd w:val="clear" w:color="auto" w:fill="FFFFFF"/>
          <w:rtl/>
        </w:rPr>
        <w:t>אשתו</w:t>
      </w:r>
      <w:r w:rsidRPr="000D6B12">
        <w:rPr>
          <w:shd w:val="clear" w:color="auto" w:fill="FFFFFF"/>
          <w:rtl/>
        </w:rPr>
        <w:t xml:space="preserve"> </w:t>
      </w:r>
      <w:r w:rsidRPr="000D6B12">
        <w:rPr>
          <w:rFonts w:hint="cs"/>
          <w:shd w:val="clear" w:color="auto" w:fill="FFFFFF"/>
          <w:rtl/>
        </w:rPr>
        <w:t>ובניו</w:t>
      </w:r>
      <w:r w:rsidRPr="000D6B12">
        <w:rPr>
          <w:shd w:val="clear" w:color="auto" w:fill="FFFFFF"/>
          <w:rtl/>
        </w:rPr>
        <w:t xml:space="preserve"> </w:t>
      </w:r>
      <w:r w:rsidRPr="000D6B12">
        <w:rPr>
          <w:rFonts w:hint="cs"/>
          <w:shd w:val="clear" w:color="auto" w:fill="FFFFFF"/>
          <w:rtl/>
        </w:rPr>
        <w:t>עד</w:t>
      </w:r>
      <w:r w:rsidRPr="000D6B12">
        <w:rPr>
          <w:shd w:val="clear" w:color="auto" w:fill="FFFFFF"/>
          <w:rtl/>
        </w:rPr>
        <w:t xml:space="preserve"> </w:t>
      </w:r>
      <w:r w:rsidRPr="000D6B12">
        <w:rPr>
          <w:rFonts w:hint="cs"/>
          <w:shd w:val="clear" w:color="auto" w:fill="FFFFFF"/>
          <w:rtl/>
        </w:rPr>
        <w:t>שיפרע</w:t>
      </w:r>
      <w:r w:rsidRPr="000D6B12">
        <w:rPr>
          <w:shd w:val="clear" w:color="auto" w:fill="FFFFFF"/>
          <w:rtl/>
        </w:rPr>
        <w:t xml:space="preserve"> </w:t>
      </w:r>
      <w:r w:rsidRPr="000D6B12">
        <w:rPr>
          <w:rFonts w:hint="cs"/>
          <w:shd w:val="clear" w:color="auto" w:fill="FFFFFF"/>
          <w:rtl/>
        </w:rPr>
        <w:t>כל</w:t>
      </w:r>
      <w:r w:rsidRPr="000D6B12">
        <w:rPr>
          <w:shd w:val="clear" w:color="auto" w:fill="FFFFFF"/>
          <w:rtl/>
        </w:rPr>
        <w:t xml:space="preserve"> </w:t>
      </w:r>
      <w:r w:rsidRPr="000D6B12">
        <w:rPr>
          <w:rFonts w:hint="cs"/>
          <w:shd w:val="clear" w:color="auto" w:fill="FFFFFF"/>
          <w:rtl/>
        </w:rPr>
        <w:t>חובו</w:t>
      </w:r>
      <w:r>
        <w:rPr>
          <w:rFonts w:hint="cs"/>
          <w:shd w:val="clear" w:color="auto" w:fill="FFFFFF"/>
          <w:rtl/>
        </w:rPr>
        <w:t>".</w:t>
      </w:r>
    </w:p>
    <w:p w:rsidR="00190113" w:rsidRDefault="00190113" w:rsidP="00190113">
      <w:pPr>
        <w:rPr>
          <w:shd w:val="clear" w:color="auto" w:fill="FFFFFF"/>
          <w:rtl/>
        </w:rPr>
      </w:pPr>
      <w:r>
        <w:rPr>
          <w:rFonts w:hint="cs"/>
          <w:shd w:val="clear" w:color="auto" w:fill="FFFFFF"/>
          <w:rtl/>
        </w:rPr>
        <w:t xml:space="preserve">מפסיקה זו עולה עיקרון חשוב, שלפיו חוב שמעמדו הנורמטיבי גבוה יותר (דאורייתא) גובר על חוב שמקורו הנורמטיבי נמוך יותר (מדרבנן). </w:t>
      </w:r>
    </w:p>
    <w:p w:rsidR="00190113" w:rsidRDefault="00190113" w:rsidP="00EC0C15">
      <w:pPr>
        <w:rPr>
          <w:shd w:val="clear" w:color="auto" w:fill="FFFFFF"/>
          <w:rtl/>
        </w:rPr>
      </w:pPr>
      <w:r>
        <w:rPr>
          <w:rFonts w:hint="cs"/>
          <w:shd w:val="clear" w:color="auto" w:fill="FFFFFF"/>
          <w:rtl/>
        </w:rPr>
        <w:t>מעיקרון זה נ</w:t>
      </w:r>
      <w:r w:rsidR="00E27BBF">
        <w:rPr>
          <w:rFonts w:hint="cs"/>
          <w:shd w:val="clear" w:color="auto" w:fill="FFFFFF"/>
          <w:rtl/>
        </w:rPr>
        <w:t xml:space="preserve">יתן </w:t>
      </w:r>
      <w:r>
        <w:rPr>
          <w:rFonts w:hint="cs"/>
          <w:shd w:val="clear" w:color="auto" w:fill="FFFFFF"/>
          <w:rtl/>
        </w:rPr>
        <w:t>להסיק, שאם החיוב כלפי הנושה מבוסס על שטר חוב, מאחר שכאמור, חיוב מסוג זה הוא חיוב מדאורייתא ו"פריעת בעל חוב מצווה",</w:t>
      </w:r>
      <w:r>
        <w:rPr>
          <w:rStyle w:val="a6"/>
          <w:shd w:val="clear" w:color="auto" w:fill="FFFFFF"/>
          <w:rtl/>
        </w:rPr>
        <w:footnoteReference w:id="22"/>
      </w:r>
      <w:r>
        <w:rPr>
          <w:rFonts w:hint="cs"/>
          <w:shd w:val="clear" w:color="auto" w:fill="FFFFFF"/>
          <w:rtl/>
        </w:rPr>
        <w:t xml:space="preserve"> חיוב זה גובר על חיוב שמקורו בדברי חכמים או בדין המדינה.</w:t>
      </w:r>
    </w:p>
    <w:p w:rsidR="009F0653" w:rsidRDefault="009F0653" w:rsidP="00EC0C15">
      <w:pPr>
        <w:rPr>
          <w:shd w:val="clear" w:color="auto" w:fill="FFFFFF"/>
          <w:rtl/>
        </w:rPr>
      </w:pPr>
      <w:r>
        <w:rPr>
          <w:rFonts w:hint="cs"/>
          <w:shd w:val="clear" w:color="auto" w:fill="FFFFFF"/>
          <w:rtl/>
        </w:rPr>
        <w:t xml:space="preserve">אמנם, </w:t>
      </w:r>
      <w:r w:rsidR="009F4B3F">
        <w:rPr>
          <w:rFonts w:hint="cs"/>
          <w:shd w:val="clear" w:color="auto" w:fill="FFFFFF"/>
          <w:rtl/>
        </w:rPr>
        <w:t>בעלי התוספות</w:t>
      </w:r>
      <w:r w:rsidR="009F4B3F">
        <w:rPr>
          <w:rStyle w:val="a6"/>
          <w:shd w:val="clear" w:color="auto" w:fill="FFFFFF"/>
          <w:rtl/>
        </w:rPr>
        <w:footnoteReference w:id="23"/>
      </w:r>
      <w:r w:rsidR="009F4B3F">
        <w:rPr>
          <w:rFonts w:hint="cs"/>
          <w:shd w:val="clear" w:color="auto" w:fill="FFFFFF"/>
          <w:rtl/>
        </w:rPr>
        <w:t xml:space="preserve"> קבעו, שגם כאשר אין לחיוב מקור בדין התורה, אם החיוב הוא חיוב פסוק מכוחו של פסק דין של בית הד</w:t>
      </w:r>
      <w:r w:rsidR="006E748D">
        <w:rPr>
          <w:rFonts w:hint="cs"/>
          <w:shd w:val="clear" w:color="auto" w:fill="FFFFFF"/>
          <w:rtl/>
        </w:rPr>
        <w:t>ין</w:t>
      </w:r>
      <w:r w:rsidR="009F4B3F">
        <w:rPr>
          <w:rFonts w:hint="cs"/>
          <w:shd w:val="clear" w:color="auto" w:fill="FFFFFF"/>
          <w:rtl/>
        </w:rPr>
        <w:t xml:space="preserve"> דינו כדין מלווה בשטר. עמדה זו מבוססת על ההנחה, שלחיוב שקיבל תוקף של פסק דין יש הד ציבורי דומה לזה של </w:t>
      </w:r>
      <w:proofErr w:type="spellStart"/>
      <w:r w:rsidR="009F4B3F">
        <w:rPr>
          <w:rFonts w:hint="cs"/>
          <w:shd w:val="clear" w:color="auto" w:fill="FFFFFF"/>
          <w:rtl/>
        </w:rPr>
        <w:t>מלוה</w:t>
      </w:r>
      <w:proofErr w:type="spellEnd"/>
      <w:r w:rsidR="009F4B3F">
        <w:rPr>
          <w:rFonts w:hint="cs"/>
          <w:shd w:val="clear" w:color="auto" w:fill="FFFFFF"/>
          <w:rtl/>
        </w:rPr>
        <w:t xml:space="preserve"> בשטר, המעניק לו תוקף דומה לזה של מלווה בשטר.</w:t>
      </w:r>
      <w:r w:rsidR="009F4B3F">
        <w:rPr>
          <w:rStyle w:val="a6"/>
          <w:shd w:val="clear" w:color="auto" w:fill="FFFFFF"/>
          <w:rtl/>
        </w:rPr>
        <w:footnoteReference w:id="24"/>
      </w:r>
    </w:p>
    <w:p w:rsidR="00EC0C15" w:rsidRDefault="009F4B3F" w:rsidP="009F4B3F">
      <w:pPr>
        <w:rPr>
          <w:shd w:val="clear" w:color="auto" w:fill="FFFFFF"/>
          <w:rtl/>
        </w:rPr>
      </w:pPr>
      <w:r>
        <w:rPr>
          <w:rFonts w:hint="cs"/>
          <w:shd w:val="clear" w:color="auto" w:fill="FFFFFF"/>
          <w:rtl/>
        </w:rPr>
        <w:t>בהתאם לעיקרון זה, אפשר שגם חיוב שמקורו בצו חילוט הוא חיוב שיש לו הד ציבורי שהוא מספיק כדי לתת לו מעמד זהה לזה של מלווה בשטר.</w:t>
      </w:r>
      <w:r w:rsidR="009F0653">
        <w:rPr>
          <w:rFonts w:hint="cs"/>
          <w:shd w:val="clear" w:color="auto" w:fill="FFFFFF"/>
          <w:rtl/>
        </w:rPr>
        <w:t xml:space="preserve"> </w:t>
      </w:r>
    </w:p>
    <w:p w:rsidR="00EC0C15" w:rsidRDefault="00EC0C15" w:rsidP="00EC0C15">
      <w:pPr>
        <w:pStyle w:val="3"/>
        <w:numPr>
          <w:ilvl w:val="0"/>
          <w:numId w:val="8"/>
        </w:numPr>
        <w:rPr>
          <w:shd w:val="clear" w:color="auto" w:fill="FFFFFF"/>
          <w:rtl/>
        </w:rPr>
      </w:pPr>
      <w:r>
        <w:rPr>
          <w:rFonts w:hint="cs"/>
          <w:shd w:val="clear" w:color="auto" w:fill="FFFFFF"/>
          <w:rtl/>
        </w:rPr>
        <w:t>תקנה מיוחדת</w:t>
      </w:r>
    </w:p>
    <w:p w:rsidR="009F4B3F" w:rsidRDefault="009F4B3F" w:rsidP="006E748D">
      <w:pPr>
        <w:rPr>
          <w:shd w:val="clear" w:color="auto" w:fill="FFFFFF"/>
          <w:rtl/>
        </w:rPr>
      </w:pPr>
      <w:r>
        <w:rPr>
          <w:rFonts w:hint="cs"/>
          <w:shd w:val="clear" w:color="auto" w:fill="FFFFFF"/>
          <w:rtl/>
        </w:rPr>
        <w:t xml:space="preserve">רבי יואל </w:t>
      </w:r>
      <w:proofErr w:type="spellStart"/>
      <w:r>
        <w:rPr>
          <w:rFonts w:hint="cs"/>
          <w:shd w:val="clear" w:color="auto" w:fill="FFFFFF"/>
          <w:rtl/>
        </w:rPr>
        <w:t>סירקיש</w:t>
      </w:r>
      <w:proofErr w:type="spellEnd"/>
      <w:r>
        <w:rPr>
          <w:rFonts w:hint="cs"/>
          <w:shd w:val="clear" w:color="auto" w:fill="FFFFFF"/>
          <w:rtl/>
        </w:rPr>
        <w:t>, מגדולי מפרשי ה'טור' (</w:t>
      </w:r>
      <w:proofErr w:type="spellStart"/>
      <w:r>
        <w:rPr>
          <w:rFonts w:hint="cs"/>
          <w:shd w:val="clear" w:color="auto" w:fill="FFFFFF"/>
          <w:rtl/>
        </w:rPr>
        <w:t>קרקוב</w:t>
      </w:r>
      <w:proofErr w:type="spellEnd"/>
      <w:r>
        <w:rPr>
          <w:rFonts w:hint="cs"/>
          <w:shd w:val="clear" w:color="auto" w:fill="FFFFFF"/>
          <w:rtl/>
        </w:rPr>
        <w:t>, המאה ה-17)</w:t>
      </w:r>
      <w:r w:rsidR="006E748D">
        <w:rPr>
          <w:rFonts w:hint="cs"/>
          <w:shd w:val="clear" w:color="auto" w:fill="FFFFFF"/>
          <w:rtl/>
        </w:rPr>
        <w:t xml:space="preserve"> חידש</w:t>
      </w:r>
      <w:r>
        <w:rPr>
          <w:rFonts w:hint="cs"/>
          <w:shd w:val="clear" w:color="auto" w:fill="FFFFFF"/>
          <w:rtl/>
        </w:rPr>
        <w:t>, שחוב כלפי ספקי סחורה קודם לחובות אחרים.</w:t>
      </w:r>
      <w:r>
        <w:rPr>
          <w:rStyle w:val="a6"/>
          <w:shd w:val="clear" w:color="auto" w:fill="FFFFFF"/>
          <w:rtl/>
        </w:rPr>
        <w:footnoteReference w:id="25"/>
      </w:r>
      <w:r>
        <w:rPr>
          <w:rFonts w:hint="cs"/>
          <w:shd w:val="clear" w:color="auto" w:fill="FFFFFF"/>
          <w:rtl/>
        </w:rPr>
        <w:t xml:space="preserve"> האחרונים הסבירו, שכלל זה אינו מעיקר הדין, אלא הוא מ</w:t>
      </w:r>
      <w:r w:rsidR="006E748D">
        <w:rPr>
          <w:rFonts w:hint="cs"/>
          <w:shd w:val="clear" w:color="auto" w:fill="FFFFFF"/>
          <w:rtl/>
        </w:rPr>
        <w:t xml:space="preserve">בוססת על </w:t>
      </w:r>
      <w:r>
        <w:rPr>
          <w:rFonts w:hint="cs"/>
          <w:shd w:val="clear" w:color="auto" w:fill="FFFFFF"/>
          <w:rtl/>
        </w:rPr>
        <w:lastRenderedPageBreak/>
        <w:t>תקנה מיוחדת שתיקן ועד ארבע הארצות, שכונתה 'תקנת בורח',</w:t>
      </w:r>
      <w:r>
        <w:rPr>
          <w:rStyle w:val="a6"/>
          <w:shd w:val="clear" w:color="auto" w:fill="FFFFFF"/>
          <w:rtl/>
        </w:rPr>
        <w:footnoteReference w:id="26"/>
      </w:r>
      <w:r>
        <w:rPr>
          <w:rFonts w:hint="cs"/>
          <w:shd w:val="clear" w:color="auto" w:fill="FFFFFF"/>
          <w:rtl/>
        </w:rPr>
        <w:t xml:space="preserve"> והיא עסקה בבעלי חובות שהיו מודעים לכך שייתכן שלא יוכלו לשלם עבור הסחורה שרכשו, ובכל זאת רכשו את הסחורה.</w:t>
      </w:r>
      <w:r>
        <w:rPr>
          <w:rStyle w:val="a6"/>
          <w:shd w:val="clear" w:color="auto" w:fill="FFFFFF"/>
          <w:rtl/>
        </w:rPr>
        <w:footnoteReference w:id="27"/>
      </w:r>
    </w:p>
    <w:p w:rsidR="006E748D" w:rsidRDefault="006E748D" w:rsidP="006E748D">
      <w:pPr>
        <w:rPr>
          <w:shd w:val="clear" w:color="auto" w:fill="FFFFFF"/>
          <w:rtl/>
        </w:rPr>
      </w:pPr>
      <w:r>
        <w:rPr>
          <w:rFonts w:hint="cs"/>
          <w:shd w:val="clear" w:color="auto" w:fill="FFFFFF"/>
          <w:rtl/>
        </w:rPr>
        <w:t xml:space="preserve">הלכה זו מלמדת, שיש בכוח הקהל לקבוע תקנה מיוחדת שתעדיף נושה על נושה אחר לשם הגשמת תכלית חברתית מסוימת. </w:t>
      </w:r>
    </w:p>
    <w:p w:rsidR="009F4B3F" w:rsidRDefault="006E748D" w:rsidP="006E748D">
      <w:pPr>
        <w:rPr>
          <w:shd w:val="clear" w:color="auto" w:fill="FFFFFF"/>
          <w:rtl/>
        </w:rPr>
      </w:pPr>
      <w:r>
        <w:rPr>
          <w:rFonts w:hint="cs"/>
          <w:shd w:val="clear" w:color="auto" w:fill="FFFFFF"/>
          <w:rtl/>
        </w:rPr>
        <w:t xml:space="preserve">בדומה לכך, הרב משה </w:t>
      </w:r>
      <w:proofErr w:type="spellStart"/>
      <w:r>
        <w:rPr>
          <w:rFonts w:hint="cs"/>
          <w:shd w:val="clear" w:color="auto" w:fill="FFFFFF"/>
          <w:rtl/>
        </w:rPr>
        <w:t>פיינשטיין</w:t>
      </w:r>
      <w:proofErr w:type="spellEnd"/>
      <w:r w:rsidR="00130055">
        <w:rPr>
          <w:rStyle w:val="a6"/>
          <w:shd w:val="clear" w:color="auto" w:fill="FFFFFF"/>
          <w:rtl/>
        </w:rPr>
        <w:footnoteReference w:id="28"/>
      </w:r>
      <w:r>
        <w:rPr>
          <w:rFonts w:hint="cs"/>
          <w:shd w:val="clear" w:color="auto" w:fill="FFFFFF"/>
          <w:rtl/>
        </w:rPr>
        <w:t xml:space="preserve"> פוסק שעל בתי הדין להסדיר את פירעון חובותיו של פושט רגל בהתאם לדין המדינה, משום ש"</w:t>
      </w:r>
      <w:r w:rsidRPr="00084329">
        <w:rPr>
          <w:rFonts w:hint="cs"/>
          <w:shd w:val="clear" w:color="auto" w:fill="FFFFFF"/>
          <w:rtl/>
        </w:rPr>
        <w:t>בדבר</w:t>
      </w:r>
      <w:r w:rsidRPr="00084329">
        <w:rPr>
          <w:shd w:val="clear" w:color="auto" w:fill="FFFFFF"/>
          <w:rtl/>
        </w:rPr>
        <w:t xml:space="preserve"> </w:t>
      </w:r>
      <w:r w:rsidRPr="00084329">
        <w:rPr>
          <w:rFonts w:hint="cs"/>
          <w:shd w:val="clear" w:color="auto" w:fill="FFFFFF"/>
          <w:rtl/>
        </w:rPr>
        <w:t>שיש</w:t>
      </w:r>
      <w:r w:rsidRPr="00084329">
        <w:rPr>
          <w:shd w:val="clear" w:color="auto" w:fill="FFFFFF"/>
          <w:rtl/>
        </w:rPr>
        <w:t xml:space="preserve"> </w:t>
      </w:r>
      <w:r w:rsidRPr="00084329">
        <w:rPr>
          <w:rFonts w:hint="cs"/>
          <w:shd w:val="clear" w:color="auto" w:fill="FFFFFF"/>
          <w:rtl/>
        </w:rPr>
        <w:t>בו</w:t>
      </w:r>
      <w:r w:rsidRPr="00084329">
        <w:rPr>
          <w:shd w:val="clear" w:color="auto" w:fill="FFFFFF"/>
          <w:rtl/>
        </w:rPr>
        <w:t xml:space="preserve"> </w:t>
      </w:r>
      <w:r w:rsidRPr="00084329">
        <w:rPr>
          <w:rFonts w:hint="cs"/>
          <w:shd w:val="clear" w:color="auto" w:fill="FFFFFF"/>
          <w:rtl/>
        </w:rPr>
        <w:t>הנאה</w:t>
      </w:r>
      <w:r w:rsidRPr="00084329">
        <w:rPr>
          <w:shd w:val="clear" w:color="auto" w:fill="FFFFFF"/>
          <w:rtl/>
        </w:rPr>
        <w:t xml:space="preserve"> </w:t>
      </w:r>
      <w:r w:rsidRPr="00084329">
        <w:rPr>
          <w:rFonts w:hint="cs"/>
          <w:shd w:val="clear" w:color="auto" w:fill="FFFFFF"/>
          <w:rtl/>
        </w:rPr>
        <w:t>למלך</w:t>
      </w:r>
      <w:r w:rsidRPr="00084329">
        <w:rPr>
          <w:shd w:val="clear" w:color="auto" w:fill="FFFFFF"/>
          <w:rtl/>
        </w:rPr>
        <w:t xml:space="preserve"> </w:t>
      </w:r>
      <w:r w:rsidRPr="00084329">
        <w:rPr>
          <w:rFonts w:hint="cs"/>
          <w:shd w:val="clear" w:color="auto" w:fill="FFFFFF"/>
          <w:rtl/>
        </w:rPr>
        <w:t>או</w:t>
      </w:r>
      <w:r w:rsidRPr="00084329">
        <w:rPr>
          <w:shd w:val="clear" w:color="auto" w:fill="FFFFFF"/>
          <w:rtl/>
        </w:rPr>
        <w:t xml:space="preserve"> </w:t>
      </w:r>
      <w:r w:rsidRPr="00084329">
        <w:rPr>
          <w:rFonts w:hint="cs"/>
          <w:shd w:val="clear" w:color="auto" w:fill="FFFFFF"/>
          <w:rtl/>
        </w:rPr>
        <w:t>שהוא</w:t>
      </w:r>
      <w:r w:rsidRPr="00084329">
        <w:rPr>
          <w:shd w:val="clear" w:color="auto" w:fill="FFFFFF"/>
          <w:rtl/>
        </w:rPr>
        <w:t xml:space="preserve"> </w:t>
      </w:r>
      <w:r w:rsidRPr="00084329">
        <w:rPr>
          <w:rFonts w:hint="cs"/>
          <w:shd w:val="clear" w:color="auto" w:fill="FFFFFF"/>
          <w:rtl/>
        </w:rPr>
        <w:t>לתקנת</w:t>
      </w:r>
      <w:r w:rsidRPr="00084329">
        <w:rPr>
          <w:shd w:val="clear" w:color="auto" w:fill="FFFFFF"/>
          <w:rtl/>
        </w:rPr>
        <w:t xml:space="preserve"> </w:t>
      </w:r>
      <w:r w:rsidRPr="00084329">
        <w:rPr>
          <w:rFonts w:hint="cs"/>
          <w:shd w:val="clear" w:color="auto" w:fill="FFFFFF"/>
          <w:rtl/>
        </w:rPr>
        <w:t>בני</w:t>
      </w:r>
      <w:r w:rsidRPr="00084329">
        <w:rPr>
          <w:shd w:val="clear" w:color="auto" w:fill="FFFFFF"/>
          <w:rtl/>
        </w:rPr>
        <w:t xml:space="preserve"> </w:t>
      </w:r>
      <w:r w:rsidRPr="00084329">
        <w:rPr>
          <w:rFonts w:hint="cs"/>
          <w:shd w:val="clear" w:color="auto" w:fill="FFFFFF"/>
          <w:rtl/>
        </w:rPr>
        <w:t>המדינה</w:t>
      </w:r>
      <w:r>
        <w:rPr>
          <w:rFonts w:hint="cs"/>
          <w:shd w:val="clear" w:color="auto" w:fill="FFFFFF"/>
          <w:rtl/>
        </w:rPr>
        <w:t xml:space="preserve">" הכלל הוא, </w:t>
      </w:r>
      <w:proofErr w:type="spellStart"/>
      <w:r>
        <w:rPr>
          <w:rFonts w:hint="cs"/>
          <w:shd w:val="clear" w:color="auto" w:fill="FFFFFF"/>
          <w:rtl/>
        </w:rPr>
        <w:t>ש"דינא</w:t>
      </w:r>
      <w:proofErr w:type="spellEnd"/>
      <w:r>
        <w:rPr>
          <w:rFonts w:hint="cs"/>
          <w:shd w:val="clear" w:color="auto" w:fill="FFFFFF"/>
          <w:rtl/>
        </w:rPr>
        <w:t xml:space="preserve"> </w:t>
      </w:r>
      <w:proofErr w:type="spellStart"/>
      <w:r>
        <w:rPr>
          <w:rFonts w:hint="cs"/>
          <w:shd w:val="clear" w:color="auto" w:fill="FFFFFF"/>
          <w:rtl/>
        </w:rPr>
        <w:t>דמלכותא</w:t>
      </w:r>
      <w:proofErr w:type="spellEnd"/>
      <w:r>
        <w:rPr>
          <w:rFonts w:hint="cs"/>
          <w:shd w:val="clear" w:color="auto" w:fill="FFFFFF"/>
          <w:rtl/>
        </w:rPr>
        <w:t xml:space="preserve"> </w:t>
      </w:r>
      <w:proofErr w:type="spellStart"/>
      <w:r>
        <w:rPr>
          <w:rFonts w:hint="cs"/>
          <w:shd w:val="clear" w:color="auto" w:fill="FFFFFF"/>
          <w:rtl/>
        </w:rPr>
        <w:t>דינא</w:t>
      </w:r>
      <w:proofErr w:type="spellEnd"/>
      <w:r>
        <w:rPr>
          <w:rFonts w:hint="cs"/>
          <w:shd w:val="clear" w:color="auto" w:fill="FFFFFF"/>
          <w:rtl/>
        </w:rPr>
        <w:t xml:space="preserve">". </w:t>
      </w:r>
    </w:p>
    <w:p w:rsidR="006E748D" w:rsidRDefault="006E748D" w:rsidP="006E748D">
      <w:pPr>
        <w:rPr>
          <w:shd w:val="clear" w:color="auto" w:fill="FFFFFF"/>
          <w:rtl/>
        </w:rPr>
      </w:pPr>
      <w:r>
        <w:rPr>
          <w:rFonts w:hint="cs"/>
          <w:shd w:val="clear" w:color="auto" w:fill="FFFFFF"/>
          <w:rtl/>
        </w:rPr>
        <w:t xml:space="preserve">לדברי הרב </w:t>
      </w:r>
      <w:proofErr w:type="spellStart"/>
      <w:r>
        <w:rPr>
          <w:rFonts w:hint="cs"/>
          <w:shd w:val="clear" w:color="auto" w:fill="FFFFFF"/>
          <w:rtl/>
        </w:rPr>
        <w:t>פיינשטיין</w:t>
      </w:r>
      <w:proofErr w:type="spellEnd"/>
      <w:r>
        <w:rPr>
          <w:rFonts w:hint="cs"/>
          <w:shd w:val="clear" w:color="auto" w:fill="FFFFFF"/>
          <w:rtl/>
        </w:rPr>
        <w:t>, מובן מאליו שדיני פשיטת הרגל הם בגדר דבר שהוא "לתקנת בני המדינה", משום "</w:t>
      </w:r>
      <w:r w:rsidRPr="00084329">
        <w:rPr>
          <w:rFonts w:hint="cs"/>
          <w:shd w:val="clear" w:color="auto" w:fill="FFFFFF"/>
          <w:rtl/>
        </w:rPr>
        <w:t>שהוא</w:t>
      </w:r>
      <w:r w:rsidRPr="00084329">
        <w:rPr>
          <w:shd w:val="clear" w:color="auto" w:fill="FFFFFF"/>
          <w:rtl/>
        </w:rPr>
        <w:t xml:space="preserve"> </w:t>
      </w:r>
      <w:r w:rsidRPr="00084329">
        <w:rPr>
          <w:rFonts w:hint="cs"/>
          <w:shd w:val="clear" w:color="auto" w:fill="FFFFFF"/>
          <w:rtl/>
        </w:rPr>
        <w:t>חסרון</w:t>
      </w:r>
      <w:r w:rsidRPr="00084329">
        <w:rPr>
          <w:shd w:val="clear" w:color="auto" w:fill="FFFFFF"/>
          <w:rtl/>
        </w:rPr>
        <w:t xml:space="preserve"> </w:t>
      </w:r>
      <w:proofErr w:type="spellStart"/>
      <w:r w:rsidRPr="00084329">
        <w:rPr>
          <w:rFonts w:hint="cs"/>
          <w:shd w:val="clear" w:color="auto" w:fill="FFFFFF"/>
          <w:rtl/>
        </w:rPr>
        <w:t>להמלכות</w:t>
      </w:r>
      <w:proofErr w:type="spellEnd"/>
      <w:r w:rsidRPr="00084329">
        <w:rPr>
          <w:shd w:val="clear" w:color="auto" w:fill="FFFFFF"/>
          <w:rtl/>
        </w:rPr>
        <w:t xml:space="preserve"> </w:t>
      </w:r>
      <w:r w:rsidRPr="00084329">
        <w:rPr>
          <w:rFonts w:hint="cs"/>
          <w:shd w:val="clear" w:color="auto" w:fill="FFFFFF"/>
          <w:rtl/>
        </w:rPr>
        <w:t>שיהיה</w:t>
      </w:r>
      <w:r w:rsidRPr="00084329">
        <w:rPr>
          <w:shd w:val="clear" w:color="auto" w:fill="FFFFFF"/>
          <w:rtl/>
        </w:rPr>
        <w:t xml:space="preserve"> </w:t>
      </w:r>
      <w:r w:rsidRPr="00084329">
        <w:rPr>
          <w:rFonts w:hint="cs"/>
          <w:shd w:val="clear" w:color="auto" w:fill="FFFFFF"/>
          <w:rtl/>
        </w:rPr>
        <w:t>חלוקי</w:t>
      </w:r>
      <w:r w:rsidRPr="00084329">
        <w:rPr>
          <w:shd w:val="clear" w:color="auto" w:fill="FFFFFF"/>
          <w:rtl/>
        </w:rPr>
        <w:t xml:space="preserve"> </w:t>
      </w:r>
      <w:r w:rsidRPr="00084329">
        <w:rPr>
          <w:rFonts w:hint="cs"/>
          <w:shd w:val="clear" w:color="auto" w:fill="FFFFFF"/>
          <w:rtl/>
        </w:rPr>
        <w:t>דינים</w:t>
      </w:r>
      <w:r w:rsidRPr="00084329">
        <w:rPr>
          <w:shd w:val="clear" w:color="auto" w:fill="FFFFFF"/>
          <w:rtl/>
        </w:rPr>
        <w:t xml:space="preserve"> </w:t>
      </w:r>
      <w:r w:rsidRPr="00084329">
        <w:rPr>
          <w:rFonts w:hint="cs"/>
          <w:shd w:val="clear" w:color="auto" w:fill="FFFFFF"/>
          <w:rtl/>
        </w:rPr>
        <w:t>בין</w:t>
      </w:r>
      <w:r w:rsidRPr="00084329">
        <w:rPr>
          <w:shd w:val="clear" w:color="auto" w:fill="FFFFFF"/>
          <w:rtl/>
        </w:rPr>
        <w:t xml:space="preserve"> </w:t>
      </w:r>
      <w:proofErr w:type="spellStart"/>
      <w:r w:rsidRPr="00084329">
        <w:rPr>
          <w:rFonts w:hint="cs"/>
          <w:shd w:val="clear" w:color="auto" w:fill="FFFFFF"/>
          <w:rtl/>
        </w:rPr>
        <w:t>אינשי</w:t>
      </w:r>
      <w:proofErr w:type="spellEnd"/>
      <w:r w:rsidRPr="00084329">
        <w:rPr>
          <w:shd w:val="clear" w:color="auto" w:fill="FFFFFF"/>
          <w:rtl/>
        </w:rPr>
        <w:t xml:space="preserve"> </w:t>
      </w:r>
      <w:proofErr w:type="spellStart"/>
      <w:r w:rsidRPr="00084329">
        <w:rPr>
          <w:rFonts w:hint="cs"/>
          <w:shd w:val="clear" w:color="auto" w:fill="FFFFFF"/>
          <w:rtl/>
        </w:rPr>
        <w:t>לאינשי</w:t>
      </w:r>
      <w:proofErr w:type="spellEnd"/>
      <w:r w:rsidRPr="00084329">
        <w:rPr>
          <w:shd w:val="clear" w:color="auto" w:fill="FFFFFF"/>
          <w:rtl/>
        </w:rPr>
        <w:t xml:space="preserve"> </w:t>
      </w:r>
      <w:r w:rsidRPr="00084329">
        <w:rPr>
          <w:rFonts w:hint="cs"/>
          <w:shd w:val="clear" w:color="auto" w:fill="FFFFFF"/>
          <w:rtl/>
        </w:rPr>
        <w:t>שמזה</w:t>
      </w:r>
      <w:r w:rsidRPr="00084329">
        <w:rPr>
          <w:shd w:val="clear" w:color="auto" w:fill="FFFFFF"/>
          <w:rtl/>
        </w:rPr>
        <w:t xml:space="preserve"> </w:t>
      </w:r>
      <w:r w:rsidRPr="00084329">
        <w:rPr>
          <w:rFonts w:hint="cs"/>
          <w:shd w:val="clear" w:color="auto" w:fill="FFFFFF"/>
          <w:rtl/>
        </w:rPr>
        <w:t>אפשר</w:t>
      </w:r>
      <w:r w:rsidRPr="00084329">
        <w:rPr>
          <w:shd w:val="clear" w:color="auto" w:fill="FFFFFF"/>
          <w:rtl/>
        </w:rPr>
        <w:t xml:space="preserve"> </w:t>
      </w:r>
      <w:r w:rsidRPr="00084329">
        <w:rPr>
          <w:rFonts w:hint="cs"/>
          <w:shd w:val="clear" w:color="auto" w:fill="FFFFFF"/>
          <w:rtl/>
        </w:rPr>
        <w:t>לבא</w:t>
      </w:r>
      <w:r w:rsidRPr="00084329">
        <w:rPr>
          <w:shd w:val="clear" w:color="auto" w:fill="FFFFFF"/>
          <w:rtl/>
        </w:rPr>
        <w:t xml:space="preserve"> </w:t>
      </w:r>
      <w:r w:rsidRPr="00084329">
        <w:rPr>
          <w:rFonts w:hint="cs"/>
          <w:shd w:val="clear" w:color="auto" w:fill="FFFFFF"/>
          <w:rtl/>
        </w:rPr>
        <w:t>לידי</w:t>
      </w:r>
      <w:r w:rsidRPr="00084329">
        <w:rPr>
          <w:shd w:val="clear" w:color="auto" w:fill="FFFFFF"/>
          <w:rtl/>
        </w:rPr>
        <w:t xml:space="preserve"> </w:t>
      </w:r>
      <w:r w:rsidRPr="00084329">
        <w:rPr>
          <w:rFonts w:hint="cs"/>
          <w:shd w:val="clear" w:color="auto" w:fill="FFFFFF"/>
          <w:rtl/>
        </w:rPr>
        <w:t>קנאה</w:t>
      </w:r>
      <w:r w:rsidRPr="00084329">
        <w:rPr>
          <w:shd w:val="clear" w:color="auto" w:fill="FFFFFF"/>
          <w:rtl/>
        </w:rPr>
        <w:t xml:space="preserve"> </w:t>
      </w:r>
      <w:r w:rsidRPr="00084329">
        <w:rPr>
          <w:rFonts w:hint="cs"/>
          <w:shd w:val="clear" w:color="auto" w:fill="FFFFFF"/>
          <w:rtl/>
        </w:rPr>
        <w:t>ותחרות</w:t>
      </w:r>
      <w:r w:rsidRPr="00084329">
        <w:rPr>
          <w:shd w:val="clear" w:color="auto" w:fill="FFFFFF"/>
          <w:rtl/>
        </w:rPr>
        <w:t xml:space="preserve"> </w:t>
      </w:r>
      <w:r w:rsidRPr="00084329">
        <w:rPr>
          <w:rFonts w:hint="cs"/>
          <w:shd w:val="clear" w:color="auto" w:fill="FFFFFF"/>
          <w:rtl/>
        </w:rPr>
        <w:t>ומריבות</w:t>
      </w:r>
      <w:r>
        <w:rPr>
          <w:rFonts w:hint="cs"/>
          <w:shd w:val="clear" w:color="auto" w:fill="FFFFFF"/>
          <w:rtl/>
        </w:rPr>
        <w:t xml:space="preserve">". </w:t>
      </w:r>
    </w:p>
    <w:p w:rsidR="00EC0C15" w:rsidRPr="00EC0C15" w:rsidRDefault="006E748D" w:rsidP="00130055">
      <w:pPr>
        <w:rPr>
          <w:rtl/>
        </w:rPr>
      </w:pPr>
      <w:r>
        <w:rPr>
          <w:rFonts w:hint="cs"/>
          <w:shd w:val="clear" w:color="auto" w:fill="FFFFFF"/>
          <w:rtl/>
        </w:rPr>
        <w:t>מדברים אלו נוכל להסיק, שבמידה ודין המדינה קובע סדר קדימות בפירעון החובות, השונה מזה שנקבע בדין התורה, יש לפעול בהתאם לסדר זה.</w:t>
      </w:r>
    </w:p>
    <w:p w:rsidR="00C13BD4" w:rsidRDefault="00EC0C15" w:rsidP="00EC0C15">
      <w:pPr>
        <w:pStyle w:val="2"/>
        <w:rPr>
          <w:shd w:val="clear" w:color="auto" w:fill="FFFFFF"/>
          <w:rtl/>
        </w:rPr>
      </w:pPr>
      <w:r>
        <w:rPr>
          <w:rFonts w:hint="cs"/>
          <w:shd w:val="clear" w:color="auto" w:fill="FFFFFF"/>
          <w:rtl/>
        </w:rPr>
        <w:t>מסקנות</w:t>
      </w:r>
    </w:p>
    <w:p w:rsidR="00130055" w:rsidRDefault="00130055" w:rsidP="003C2E1C">
      <w:pPr>
        <w:pStyle w:val="a7"/>
        <w:numPr>
          <w:ilvl w:val="0"/>
          <w:numId w:val="13"/>
        </w:numPr>
        <w:rPr>
          <w:rtl/>
        </w:rPr>
      </w:pPr>
      <w:r>
        <w:rPr>
          <w:rFonts w:hint="cs"/>
          <w:rtl/>
        </w:rPr>
        <w:t>יורשיו של אדם נדרשים לשלם קנס שהוטל על המוריש מכוחו של פסק דין חלוט, אך הם אינם נדרשים לשלם קנסות המוטלים עליו שלא מכוחו של פסק דין חלוט, אף אם הקנס נועד למנוע מן העבריין ליהנות מפירותיה של העבירה.</w:t>
      </w:r>
    </w:p>
    <w:p w:rsidR="00130055" w:rsidRDefault="00130055" w:rsidP="003C2E1C">
      <w:pPr>
        <w:pStyle w:val="a7"/>
        <w:numPr>
          <w:ilvl w:val="0"/>
          <w:numId w:val="13"/>
        </w:numPr>
        <w:rPr>
          <w:rtl/>
        </w:rPr>
      </w:pPr>
      <w:r>
        <w:rPr>
          <w:rFonts w:hint="cs"/>
          <w:rtl/>
        </w:rPr>
        <w:t>אף שמעיקר הדין חוב מוקדם קודם לגביה מחוב מאוחר כאשר הגבייה היא ממקרקעיו של החייב, בימנו אין לחוב המוקדם יתרון על החוב המאוחר, לא לעניין הגביה ממקרקעין ולא לעניין הגביה ממ</w:t>
      </w:r>
      <w:r w:rsidR="0071080F">
        <w:rPr>
          <w:rFonts w:hint="cs"/>
          <w:rtl/>
        </w:rPr>
        <w:t>י</w:t>
      </w:r>
      <w:r>
        <w:rPr>
          <w:rFonts w:hint="cs"/>
          <w:rtl/>
        </w:rPr>
        <w:t>טלטלין.</w:t>
      </w:r>
    </w:p>
    <w:p w:rsidR="00130055" w:rsidRDefault="00130055" w:rsidP="003C2E1C">
      <w:pPr>
        <w:pStyle w:val="a7"/>
        <w:numPr>
          <w:ilvl w:val="0"/>
          <w:numId w:val="13"/>
        </w:numPr>
        <w:rPr>
          <w:rtl/>
        </w:rPr>
      </w:pPr>
      <w:r>
        <w:rPr>
          <w:rFonts w:hint="cs"/>
          <w:rtl/>
        </w:rPr>
        <w:t>אף שמעיקר הדין מעמדו של חוב מכוחו של שטר חוב עולה על מעמדו של חוב מכוחו של קנס, בימנו מעמדם של שני החובות זהה, בייחוד כאשר חוב הקנס מבוסס על פסיקה חלוטה של בית הדין או בית המשפט.</w:t>
      </w:r>
    </w:p>
    <w:p w:rsidR="00130055" w:rsidRDefault="003C2E1C" w:rsidP="003C2E1C">
      <w:pPr>
        <w:pStyle w:val="a7"/>
        <w:numPr>
          <w:ilvl w:val="0"/>
          <w:numId w:val="13"/>
        </w:numPr>
        <w:rPr>
          <w:rtl/>
        </w:rPr>
      </w:pPr>
      <w:r>
        <w:rPr>
          <w:rFonts w:hint="cs"/>
          <w:rtl/>
        </w:rPr>
        <w:t>לפיכך, זכותם של כל הנושים שווה, ויש לחלק את נכסי העיזבון בין המדינה והנושים, באופן שוויוני.</w:t>
      </w:r>
    </w:p>
    <w:p w:rsidR="00130055" w:rsidRDefault="003C2E1C" w:rsidP="003C2E1C">
      <w:pPr>
        <w:pStyle w:val="a7"/>
        <w:numPr>
          <w:ilvl w:val="0"/>
          <w:numId w:val="13"/>
        </w:numPr>
        <w:rPr>
          <w:rtl/>
        </w:rPr>
      </w:pPr>
      <w:r>
        <w:rPr>
          <w:rFonts w:hint="cs"/>
          <w:rtl/>
        </w:rPr>
        <w:t xml:space="preserve">אמנם, ההלכה מכירה </w:t>
      </w:r>
      <w:r w:rsidR="00130055">
        <w:rPr>
          <w:rFonts w:hint="cs"/>
          <w:rtl/>
        </w:rPr>
        <w:t>בכוחו של הציבור לקבוע סדרי קדימות שונים מאלו</w:t>
      </w:r>
      <w:r>
        <w:rPr>
          <w:rFonts w:hint="cs"/>
          <w:rtl/>
        </w:rPr>
        <w:t xml:space="preserve"> שנקבעו בהלכה לשם הגשמתן של תכליות חברתיות שנועדו להבטיח את הסדר הציבורי. לפיכך, במידה והדין מעניק עדיפות לנושה זה על אחר, ההלכה מחייבת את הקדמתו של הנושה המועדף לפירעון החוב, על פני נושים אחרים.</w:t>
      </w:r>
      <w:r w:rsidR="00130055">
        <w:rPr>
          <w:rFonts w:hint="cs"/>
          <w:rtl/>
        </w:rPr>
        <w:t xml:space="preserve">  </w:t>
      </w:r>
    </w:p>
    <w:p w:rsidR="00213695" w:rsidRPr="00213695" w:rsidRDefault="00130055" w:rsidP="0071080F">
      <w:r>
        <w:rPr>
          <w:rFonts w:hint="cs"/>
          <w:rtl/>
        </w:rPr>
        <w:t xml:space="preserve"> </w:t>
      </w:r>
    </w:p>
    <w:sectPr w:rsidR="00213695" w:rsidRPr="00213695" w:rsidSect="00C656CC">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02B" w:rsidRDefault="00C8102B" w:rsidP="00C13BD4">
      <w:pPr>
        <w:spacing w:before="0" w:after="0" w:line="240" w:lineRule="auto"/>
      </w:pPr>
      <w:r>
        <w:separator/>
      </w:r>
    </w:p>
  </w:endnote>
  <w:endnote w:type="continuationSeparator" w:id="0">
    <w:p w:rsidR="00C8102B" w:rsidRDefault="00C8102B" w:rsidP="00C13BD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 w:name="FrankRuehl">
    <w:panose1 w:val="020E0503060101010101"/>
    <w:charset w:val="B1"/>
    <w:family w:val="swiss"/>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91087544"/>
      <w:docPartObj>
        <w:docPartGallery w:val="Page Numbers (Bottom of Page)"/>
        <w:docPartUnique/>
      </w:docPartObj>
    </w:sdtPr>
    <w:sdtEndPr>
      <w:rPr>
        <w:cs/>
      </w:rPr>
    </w:sdtEndPr>
    <w:sdtContent>
      <w:p w:rsidR="007E30E7" w:rsidRDefault="007E30E7">
        <w:pPr>
          <w:pStyle w:val="aa"/>
          <w:jc w:val="center"/>
          <w:rPr>
            <w:cs/>
          </w:rPr>
        </w:pPr>
        <w:r>
          <w:fldChar w:fldCharType="begin"/>
        </w:r>
        <w:r>
          <w:rPr>
            <w:cs/>
          </w:rPr>
          <w:instrText>PAGE   \* MERGEFORMAT</w:instrText>
        </w:r>
        <w:r>
          <w:fldChar w:fldCharType="separate"/>
        </w:r>
        <w:r w:rsidR="00FC4FF2" w:rsidRPr="00FC4FF2">
          <w:rPr>
            <w:noProof/>
            <w:rtl/>
            <w:lang w:val="he-IL"/>
          </w:rPr>
          <w:t>5</w:t>
        </w:r>
        <w:r>
          <w:fldChar w:fldCharType="end"/>
        </w:r>
      </w:p>
    </w:sdtContent>
  </w:sdt>
  <w:p w:rsidR="007E30E7" w:rsidRDefault="007E30E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02B" w:rsidRDefault="00C8102B" w:rsidP="00C13BD4">
      <w:pPr>
        <w:spacing w:before="0" w:after="0" w:line="240" w:lineRule="auto"/>
      </w:pPr>
      <w:r>
        <w:separator/>
      </w:r>
    </w:p>
  </w:footnote>
  <w:footnote w:type="continuationSeparator" w:id="0">
    <w:p w:rsidR="00C8102B" w:rsidRDefault="00C8102B" w:rsidP="00C13BD4">
      <w:pPr>
        <w:spacing w:before="0" w:after="0" w:line="240" w:lineRule="auto"/>
      </w:pPr>
      <w:r>
        <w:continuationSeparator/>
      </w:r>
    </w:p>
  </w:footnote>
  <w:footnote w:id="1">
    <w:p w:rsidR="00C13BD4" w:rsidRDefault="00C13BD4" w:rsidP="006C6B8E">
      <w:pPr>
        <w:pStyle w:val="a4"/>
      </w:pPr>
      <w:r>
        <w:rPr>
          <w:rStyle w:val="a6"/>
        </w:rPr>
        <w:footnoteRef/>
      </w:r>
      <w:r>
        <w:rPr>
          <w:rtl/>
        </w:rPr>
        <w:t xml:space="preserve"> </w:t>
      </w:r>
      <w:r w:rsidR="006C6B8E">
        <w:rPr>
          <w:rtl/>
        </w:rPr>
        <w:tab/>
      </w:r>
      <w:r w:rsidR="006C6B8E">
        <w:rPr>
          <w:rFonts w:hint="cs"/>
          <w:rtl/>
        </w:rPr>
        <w:t xml:space="preserve">להרחבה על דיני הקנסות וייחודם לעומת דיני ממונות ראו למשל, עמיחי </w:t>
      </w:r>
      <w:proofErr w:type="spellStart"/>
      <w:r w:rsidR="006C6B8E" w:rsidRPr="006C6B8E">
        <w:rPr>
          <w:rFonts w:hint="cs"/>
          <w:rtl/>
        </w:rPr>
        <w:t>רדזינר</w:t>
      </w:r>
      <w:proofErr w:type="spellEnd"/>
      <w:r w:rsidR="006C6B8E" w:rsidRPr="006C6B8E">
        <w:rPr>
          <w:rtl/>
        </w:rPr>
        <w:t xml:space="preserve">, </w:t>
      </w:r>
      <w:r w:rsidR="006C6B8E" w:rsidRPr="006C6B8E">
        <w:rPr>
          <w:rFonts w:hint="cs"/>
          <w:b/>
          <w:bCs/>
          <w:rtl/>
        </w:rPr>
        <w:t>יסודות</w:t>
      </w:r>
      <w:r w:rsidR="006C6B8E" w:rsidRPr="006C6B8E">
        <w:rPr>
          <w:b/>
          <w:bCs/>
          <w:rtl/>
        </w:rPr>
        <w:t xml:space="preserve"> '</w:t>
      </w:r>
      <w:r w:rsidR="006C6B8E" w:rsidRPr="006C6B8E">
        <w:rPr>
          <w:rFonts w:hint="cs"/>
          <w:b/>
          <w:bCs/>
          <w:rtl/>
        </w:rPr>
        <w:t>דיני</w:t>
      </w:r>
      <w:r w:rsidR="006C6B8E" w:rsidRPr="006C6B8E">
        <w:rPr>
          <w:b/>
          <w:bCs/>
          <w:rtl/>
        </w:rPr>
        <w:t xml:space="preserve"> </w:t>
      </w:r>
      <w:r w:rsidR="006C6B8E" w:rsidRPr="006C6B8E">
        <w:rPr>
          <w:rFonts w:hint="cs"/>
          <w:b/>
          <w:bCs/>
          <w:rtl/>
        </w:rPr>
        <w:t>קנסות</w:t>
      </w:r>
      <w:r w:rsidR="006C6B8E" w:rsidRPr="006C6B8E">
        <w:rPr>
          <w:b/>
          <w:bCs/>
          <w:rtl/>
        </w:rPr>
        <w:t xml:space="preserve">' </w:t>
      </w:r>
      <w:r w:rsidR="006C6B8E" w:rsidRPr="006C6B8E">
        <w:rPr>
          <w:rFonts w:hint="cs"/>
          <w:b/>
          <w:bCs/>
          <w:rtl/>
        </w:rPr>
        <w:t>במשפט</w:t>
      </w:r>
      <w:r w:rsidR="006C6B8E" w:rsidRPr="006C6B8E">
        <w:rPr>
          <w:b/>
          <w:bCs/>
          <w:rtl/>
        </w:rPr>
        <w:t xml:space="preserve"> </w:t>
      </w:r>
      <w:r w:rsidR="006C6B8E" w:rsidRPr="006C6B8E">
        <w:rPr>
          <w:rFonts w:hint="cs"/>
          <w:b/>
          <w:bCs/>
          <w:rtl/>
        </w:rPr>
        <w:t>התלמודי</w:t>
      </w:r>
      <w:r w:rsidR="006C6B8E" w:rsidRPr="006C6B8E">
        <w:rPr>
          <w:rtl/>
        </w:rPr>
        <w:t xml:space="preserve"> (</w:t>
      </w:r>
      <w:r w:rsidR="006C6B8E">
        <w:rPr>
          <w:rFonts w:hint="cs"/>
          <w:rtl/>
        </w:rPr>
        <w:t xml:space="preserve">עבודה לשם קבלת התואר דוקטור, </w:t>
      </w:r>
      <w:r w:rsidR="006C6B8E" w:rsidRPr="006C6B8E">
        <w:rPr>
          <w:rFonts w:hint="cs"/>
          <w:rtl/>
        </w:rPr>
        <w:t>בר</w:t>
      </w:r>
      <w:r w:rsidR="006C6B8E" w:rsidRPr="006C6B8E">
        <w:rPr>
          <w:rtl/>
        </w:rPr>
        <w:t xml:space="preserve"> </w:t>
      </w:r>
      <w:r w:rsidR="006C6B8E" w:rsidRPr="006C6B8E">
        <w:rPr>
          <w:rFonts w:hint="cs"/>
          <w:rtl/>
        </w:rPr>
        <w:t>אילן</w:t>
      </w:r>
      <w:r w:rsidR="006C6B8E" w:rsidRPr="006C6B8E">
        <w:rPr>
          <w:rtl/>
        </w:rPr>
        <w:t xml:space="preserve">, </w:t>
      </w:r>
      <w:r w:rsidR="006C6B8E" w:rsidRPr="006C6B8E">
        <w:rPr>
          <w:rFonts w:hint="cs"/>
          <w:rtl/>
        </w:rPr>
        <w:t>רמת</w:t>
      </w:r>
      <w:r w:rsidR="006C6B8E" w:rsidRPr="006C6B8E">
        <w:rPr>
          <w:rtl/>
        </w:rPr>
        <w:t xml:space="preserve"> </w:t>
      </w:r>
      <w:r w:rsidR="006C6B8E" w:rsidRPr="006C6B8E">
        <w:rPr>
          <w:rFonts w:hint="cs"/>
          <w:rtl/>
        </w:rPr>
        <w:t>גן</w:t>
      </w:r>
      <w:r w:rsidR="006C6B8E" w:rsidRPr="006C6B8E">
        <w:rPr>
          <w:rtl/>
        </w:rPr>
        <w:t xml:space="preserve"> </w:t>
      </w:r>
      <w:r w:rsidR="006C6B8E" w:rsidRPr="006C6B8E">
        <w:rPr>
          <w:rFonts w:hint="cs"/>
          <w:rtl/>
        </w:rPr>
        <w:t>תשס</w:t>
      </w:r>
      <w:r w:rsidR="006C6B8E" w:rsidRPr="006C6B8E">
        <w:rPr>
          <w:rtl/>
        </w:rPr>
        <w:t>"</w:t>
      </w:r>
      <w:r w:rsidR="006C6B8E" w:rsidRPr="006C6B8E">
        <w:rPr>
          <w:rFonts w:hint="cs"/>
          <w:rtl/>
        </w:rPr>
        <w:t>א</w:t>
      </w:r>
      <w:r w:rsidR="006C6B8E" w:rsidRPr="006C6B8E">
        <w:rPr>
          <w:rtl/>
        </w:rPr>
        <w:t xml:space="preserve">; </w:t>
      </w:r>
      <w:r w:rsidR="006C6B8E" w:rsidRPr="006C6B8E">
        <w:rPr>
          <w:rFonts w:hint="cs"/>
          <w:rtl/>
        </w:rPr>
        <w:t>הנ</w:t>
      </w:r>
      <w:r w:rsidR="006C6B8E" w:rsidRPr="006C6B8E">
        <w:rPr>
          <w:rtl/>
        </w:rPr>
        <w:t>"</w:t>
      </w:r>
      <w:r w:rsidR="006C6B8E" w:rsidRPr="006C6B8E">
        <w:rPr>
          <w:rFonts w:hint="cs"/>
          <w:rtl/>
        </w:rPr>
        <w:t>ל</w:t>
      </w:r>
      <w:r w:rsidR="006C6B8E" w:rsidRPr="006C6B8E">
        <w:rPr>
          <w:rtl/>
        </w:rPr>
        <w:t>, "'</w:t>
      </w:r>
      <w:r w:rsidR="006C6B8E" w:rsidRPr="006C6B8E">
        <w:rPr>
          <w:rFonts w:hint="cs"/>
          <w:rtl/>
        </w:rPr>
        <w:t>קנסות</w:t>
      </w:r>
      <w:r w:rsidR="006C6B8E" w:rsidRPr="006C6B8E">
        <w:rPr>
          <w:rtl/>
        </w:rPr>
        <w:t xml:space="preserve">' </w:t>
      </w:r>
      <w:r w:rsidR="006C6B8E" w:rsidRPr="006C6B8E">
        <w:rPr>
          <w:rFonts w:hint="cs"/>
          <w:rtl/>
        </w:rPr>
        <w:t>כתשלומי</w:t>
      </w:r>
      <w:r w:rsidR="006C6B8E" w:rsidRPr="006C6B8E">
        <w:rPr>
          <w:rtl/>
        </w:rPr>
        <w:t xml:space="preserve"> </w:t>
      </w:r>
      <w:r w:rsidR="006C6B8E" w:rsidRPr="006C6B8E">
        <w:rPr>
          <w:rFonts w:hint="cs"/>
          <w:rtl/>
        </w:rPr>
        <w:t>נזק</w:t>
      </w:r>
      <w:r w:rsidR="006C6B8E" w:rsidRPr="006C6B8E">
        <w:rPr>
          <w:rtl/>
        </w:rPr>
        <w:t xml:space="preserve"> </w:t>
      </w:r>
      <w:r w:rsidR="006C6B8E" w:rsidRPr="006C6B8E">
        <w:rPr>
          <w:rFonts w:hint="cs"/>
          <w:rtl/>
        </w:rPr>
        <w:t>בספרות</w:t>
      </w:r>
      <w:r w:rsidR="006C6B8E" w:rsidRPr="006C6B8E">
        <w:rPr>
          <w:rtl/>
        </w:rPr>
        <w:t xml:space="preserve"> </w:t>
      </w:r>
      <w:r w:rsidR="006C6B8E" w:rsidRPr="006C6B8E">
        <w:rPr>
          <w:rFonts w:hint="cs"/>
          <w:rtl/>
        </w:rPr>
        <w:t>התנאים</w:t>
      </w:r>
      <w:r w:rsidR="006C6B8E" w:rsidRPr="006C6B8E">
        <w:rPr>
          <w:rtl/>
        </w:rPr>
        <w:t xml:space="preserve">" </w:t>
      </w:r>
      <w:r w:rsidR="006C6B8E" w:rsidRPr="006C6B8E">
        <w:rPr>
          <w:rFonts w:hint="cs"/>
          <w:b/>
          <w:bCs/>
          <w:rtl/>
        </w:rPr>
        <w:t>שנתון</w:t>
      </w:r>
      <w:r w:rsidR="006C6B8E" w:rsidRPr="006C6B8E">
        <w:rPr>
          <w:b/>
          <w:bCs/>
          <w:rtl/>
        </w:rPr>
        <w:t xml:space="preserve"> </w:t>
      </w:r>
      <w:r w:rsidR="006C6B8E" w:rsidRPr="006C6B8E">
        <w:rPr>
          <w:rFonts w:hint="cs"/>
          <w:b/>
          <w:bCs/>
          <w:rtl/>
        </w:rPr>
        <w:t>המשפט</w:t>
      </w:r>
      <w:r w:rsidR="006C6B8E" w:rsidRPr="006C6B8E">
        <w:rPr>
          <w:b/>
          <w:bCs/>
          <w:rtl/>
        </w:rPr>
        <w:t xml:space="preserve"> </w:t>
      </w:r>
      <w:r w:rsidR="006C6B8E" w:rsidRPr="006C6B8E">
        <w:rPr>
          <w:rFonts w:hint="cs"/>
          <w:b/>
          <w:bCs/>
          <w:rtl/>
        </w:rPr>
        <w:t>העברי</w:t>
      </w:r>
      <w:r w:rsidR="006C6B8E" w:rsidRPr="006C6B8E">
        <w:rPr>
          <w:b/>
          <w:bCs/>
          <w:rtl/>
        </w:rPr>
        <w:t xml:space="preserve"> </w:t>
      </w:r>
      <w:r w:rsidR="006C6B8E" w:rsidRPr="006C6B8E">
        <w:rPr>
          <w:rFonts w:hint="cs"/>
          <w:rtl/>
        </w:rPr>
        <w:t>כד</w:t>
      </w:r>
      <w:r w:rsidR="006C6B8E" w:rsidRPr="006C6B8E">
        <w:rPr>
          <w:rtl/>
        </w:rPr>
        <w:t xml:space="preserve"> (</w:t>
      </w:r>
      <w:r w:rsidR="006C6B8E" w:rsidRPr="006C6B8E">
        <w:rPr>
          <w:rFonts w:hint="cs"/>
          <w:rtl/>
        </w:rPr>
        <w:t>תשס</w:t>
      </w:r>
      <w:r w:rsidR="006C6B8E" w:rsidRPr="006C6B8E">
        <w:rPr>
          <w:rtl/>
        </w:rPr>
        <w:t>"</w:t>
      </w:r>
      <w:r w:rsidR="006C6B8E" w:rsidRPr="006C6B8E">
        <w:rPr>
          <w:rFonts w:hint="cs"/>
          <w:rtl/>
        </w:rPr>
        <w:t>ז</w:t>
      </w:r>
      <w:r w:rsidR="006C6B8E" w:rsidRPr="006C6B8E">
        <w:rPr>
          <w:rtl/>
        </w:rPr>
        <w:t xml:space="preserve">), </w:t>
      </w:r>
      <w:r w:rsidR="006C6B8E" w:rsidRPr="006C6B8E">
        <w:rPr>
          <w:rFonts w:hint="cs"/>
          <w:rtl/>
        </w:rPr>
        <w:t>עמ</w:t>
      </w:r>
      <w:r w:rsidR="006C6B8E" w:rsidRPr="006C6B8E">
        <w:rPr>
          <w:rtl/>
        </w:rPr>
        <w:t xml:space="preserve">' 287-358. </w:t>
      </w:r>
    </w:p>
  </w:footnote>
  <w:footnote w:id="2">
    <w:p w:rsidR="00C13BD4" w:rsidRDefault="00C13BD4">
      <w:pPr>
        <w:pStyle w:val="a4"/>
      </w:pPr>
      <w:r>
        <w:rPr>
          <w:rStyle w:val="a6"/>
        </w:rPr>
        <w:footnoteRef/>
      </w:r>
      <w:r>
        <w:rPr>
          <w:rtl/>
        </w:rPr>
        <w:t xml:space="preserve"> </w:t>
      </w:r>
      <w:r w:rsidR="006C6B8E">
        <w:rPr>
          <w:rtl/>
        </w:rPr>
        <w:tab/>
      </w:r>
      <w:r>
        <w:rPr>
          <w:rFonts w:hint="cs"/>
          <w:rtl/>
        </w:rPr>
        <w:t>משנה תורה חובל ומזיק ז, א.</w:t>
      </w:r>
    </w:p>
  </w:footnote>
  <w:footnote w:id="3">
    <w:p w:rsidR="00C13BD4" w:rsidRDefault="00C13BD4">
      <w:pPr>
        <w:pStyle w:val="a4"/>
      </w:pPr>
      <w:r>
        <w:rPr>
          <w:rStyle w:val="a6"/>
        </w:rPr>
        <w:footnoteRef/>
      </w:r>
      <w:r>
        <w:rPr>
          <w:rtl/>
        </w:rPr>
        <w:t xml:space="preserve"> </w:t>
      </w:r>
      <w:r w:rsidR="006C6B8E">
        <w:rPr>
          <w:rtl/>
        </w:rPr>
        <w:tab/>
      </w:r>
      <w:r>
        <w:rPr>
          <w:rFonts w:hint="cs"/>
          <w:rtl/>
        </w:rPr>
        <w:t>שם.</w:t>
      </w:r>
    </w:p>
  </w:footnote>
  <w:footnote w:id="4">
    <w:p w:rsidR="00C13BD4" w:rsidRDefault="00C13BD4">
      <w:pPr>
        <w:pStyle w:val="a4"/>
        <w:rPr>
          <w:rtl/>
        </w:rPr>
      </w:pPr>
      <w:r>
        <w:rPr>
          <w:rStyle w:val="a6"/>
        </w:rPr>
        <w:footnoteRef/>
      </w:r>
      <w:r>
        <w:rPr>
          <w:rtl/>
        </w:rPr>
        <w:t xml:space="preserve"> </w:t>
      </w:r>
      <w:r w:rsidR="006C6B8E">
        <w:rPr>
          <w:rtl/>
        </w:rPr>
        <w:tab/>
      </w:r>
      <w:r>
        <w:rPr>
          <w:rFonts w:hint="cs"/>
          <w:rtl/>
        </w:rPr>
        <w:t xml:space="preserve">שם </w:t>
      </w:r>
      <w:proofErr w:type="spellStart"/>
      <w:r>
        <w:rPr>
          <w:rFonts w:hint="cs"/>
          <w:rtl/>
        </w:rPr>
        <w:t>שם</w:t>
      </w:r>
      <w:proofErr w:type="spellEnd"/>
      <w:r>
        <w:rPr>
          <w:rFonts w:hint="cs"/>
          <w:rtl/>
        </w:rPr>
        <w:t>, ב.</w:t>
      </w:r>
    </w:p>
  </w:footnote>
  <w:footnote w:id="5">
    <w:p w:rsidR="00545060" w:rsidRDefault="00545060">
      <w:pPr>
        <w:pStyle w:val="a4"/>
      </w:pPr>
      <w:r>
        <w:rPr>
          <w:rStyle w:val="a6"/>
        </w:rPr>
        <w:footnoteRef/>
      </w:r>
      <w:r>
        <w:rPr>
          <w:rtl/>
        </w:rPr>
        <w:t xml:space="preserve"> </w:t>
      </w:r>
      <w:r w:rsidR="006C6B8E">
        <w:rPr>
          <w:rtl/>
        </w:rPr>
        <w:tab/>
      </w:r>
      <w:r w:rsidRPr="006C6B8E">
        <w:rPr>
          <w:rFonts w:hint="cs"/>
          <w:b/>
          <w:bCs/>
          <w:rtl/>
        </w:rPr>
        <w:t xml:space="preserve">שולחן ערוך </w:t>
      </w:r>
      <w:proofErr w:type="spellStart"/>
      <w:r>
        <w:rPr>
          <w:rFonts w:hint="cs"/>
          <w:rtl/>
        </w:rPr>
        <w:t>חו"מ</w:t>
      </w:r>
      <w:proofErr w:type="spellEnd"/>
      <w:r>
        <w:rPr>
          <w:rFonts w:hint="cs"/>
          <w:rtl/>
        </w:rPr>
        <w:t xml:space="preserve"> קח, ב.</w:t>
      </w:r>
    </w:p>
  </w:footnote>
  <w:footnote w:id="6">
    <w:p w:rsidR="00152CFA" w:rsidRDefault="00152CFA" w:rsidP="00152CFA">
      <w:pPr>
        <w:pStyle w:val="a4"/>
        <w:rPr>
          <w:rtl/>
        </w:rPr>
      </w:pPr>
      <w:r>
        <w:rPr>
          <w:rStyle w:val="a6"/>
        </w:rPr>
        <w:footnoteRef/>
      </w:r>
      <w:r>
        <w:rPr>
          <w:rtl/>
        </w:rPr>
        <w:t xml:space="preserve"> </w:t>
      </w:r>
      <w:r w:rsidR="006C6B8E">
        <w:rPr>
          <w:rtl/>
        </w:rPr>
        <w:tab/>
      </w:r>
      <w:proofErr w:type="spellStart"/>
      <w:r w:rsidRPr="006C6B8E">
        <w:rPr>
          <w:rFonts w:hint="cs"/>
          <w:b/>
          <w:bCs/>
          <w:rtl/>
        </w:rPr>
        <w:t>סמ"ע</w:t>
      </w:r>
      <w:proofErr w:type="spellEnd"/>
      <w:r>
        <w:rPr>
          <w:rFonts w:hint="cs"/>
          <w:rtl/>
        </w:rPr>
        <w:t xml:space="preserve"> </w:t>
      </w:r>
      <w:proofErr w:type="spellStart"/>
      <w:r>
        <w:rPr>
          <w:rFonts w:hint="cs"/>
          <w:rtl/>
        </w:rPr>
        <w:t>חו"מ</w:t>
      </w:r>
      <w:proofErr w:type="spellEnd"/>
      <w:r>
        <w:rPr>
          <w:rFonts w:hint="cs"/>
          <w:rtl/>
        </w:rPr>
        <w:t xml:space="preserve"> שפה, ב, וכן דעת </w:t>
      </w:r>
      <w:r w:rsidRPr="006C6B8E">
        <w:rPr>
          <w:rFonts w:hint="cs"/>
          <w:b/>
          <w:bCs/>
          <w:rtl/>
        </w:rPr>
        <w:t xml:space="preserve">אורים ותומים </w:t>
      </w:r>
      <w:r>
        <w:rPr>
          <w:rFonts w:hint="cs"/>
          <w:rtl/>
        </w:rPr>
        <w:t>תומים קח, א.</w:t>
      </w:r>
    </w:p>
  </w:footnote>
  <w:footnote w:id="7">
    <w:p w:rsidR="00130055" w:rsidRDefault="00130055" w:rsidP="00130055">
      <w:pPr>
        <w:pStyle w:val="a4"/>
        <w:rPr>
          <w:rtl/>
        </w:rPr>
      </w:pPr>
      <w:r>
        <w:rPr>
          <w:rStyle w:val="a6"/>
        </w:rPr>
        <w:footnoteRef/>
      </w:r>
      <w:r>
        <w:rPr>
          <w:rtl/>
        </w:rPr>
        <w:t xml:space="preserve"> </w:t>
      </w:r>
      <w:r w:rsidR="00243D2E">
        <w:rPr>
          <w:rtl/>
        </w:rPr>
        <w:tab/>
      </w:r>
      <w:r w:rsidR="00243D2E">
        <w:rPr>
          <w:rFonts w:hint="cs"/>
          <w:rtl/>
        </w:rPr>
        <w:t xml:space="preserve">ע"פ </w:t>
      </w:r>
      <w:r w:rsidR="00243D2E" w:rsidRPr="00243D2E">
        <w:rPr>
          <w:rFonts w:hint="cs"/>
          <w:b/>
          <w:bCs/>
          <w:rtl/>
        </w:rPr>
        <w:t>ירמיה</w:t>
      </w:r>
      <w:r w:rsidR="00243D2E">
        <w:rPr>
          <w:rFonts w:hint="cs"/>
          <w:rtl/>
        </w:rPr>
        <w:t xml:space="preserve"> לא, </w:t>
      </w:r>
      <w:proofErr w:type="spellStart"/>
      <w:r w:rsidR="00243D2E">
        <w:rPr>
          <w:rFonts w:hint="cs"/>
          <w:rtl/>
        </w:rPr>
        <w:t>כט</w:t>
      </w:r>
      <w:proofErr w:type="spellEnd"/>
      <w:r w:rsidR="00243D2E">
        <w:rPr>
          <w:rFonts w:hint="cs"/>
          <w:rtl/>
        </w:rPr>
        <w:t>.</w:t>
      </w:r>
    </w:p>
  </w:footnote>
  <w:footnote w:id="8">
    <w:p w:rsidR="00152CFA" w:rsidRDefault="00152CFA" w:rsidP="00AE48F1">
      <w:pPr>
        <w:pStyle w:val="a4"/>
        <w:rPr>
          <w:rtl/>
        </w:rPr>
      </w:pPr>
      <w:r>
        <w:rPr>
          <w:rStyle w:val="a6"/>
        </w:rPr>
        <w:footnoteRef/>
      </w:r>
      <w:r>
        <w:rPr>
          <w:rtl/>
        </w:rPr>
        <w:t xml:space="preserve"> </w:t>
      </w:r>
      <w:r w:rsidR="00243D2E">
        <w:rPr>
          <w:rtl/>
        </w:rPr>
        <w:tab/>
      </w:r>
      <w:proofErr w:type="spellStart"/>
      <w:r w:rsidRPr="00243D2E">
        <w:rPr>
          <w:rFonts w:hint="cs"/>
          <w:b/>
          <w:bCs/>
          <w:rtl/>
        </w:rPr>
        <w:t>ש"ך</w:t>
      </w:r>
      <w:proofErr w:type="spellEnd"/>
      <w:r>
        <w:rPr>
          <w:rFonts w:hint="cs"/>
          <w:rtl/>
        </w:rPr>
        <w:t xml:space="preserve"> </w:t>
      </w:r>
      <w:proofErr w:type="spellStart"/>
      <w:r>
        <w:rPr>
          <w:rFonts w:hint="cs"/>
          <w:rtl/>
        </w:rPr>
        <w:t>חו"מ</w:t>
      </w:r>
      <w:proofErr w:type="spellEnd"/>
      <w:r>
        <w:rPr>
          <w:rFonts w:hint="cs"/>
          <w:rtl/>
        </w:rPr>
        <w:t xml:space="preserve"> שם, </w:t>
      </w:r>
      <w:proofErr w:type="spellStart"/>
      <w:r>
        <w:rPr>
          <w:rFonts w:hint="cs"/>
          <w:rtl/>
        </w:rPr>
        <w:t>ס"ק</w:t>
      </w:r>
      <w:proofErr w:type="spellEnd"/>
      <w:r>
        <w:rPr>
          <w:rFonts w:hint="cs"/>
          <w:rtl/>
        </w:rPr>
        <w:t xml:space="preserve"> ג. </w:t>
      </w:r>
    </w:p>
  </w:footnote>
  <w:footnote w:id="9">
    <w:p w:rsidR="00AE48F1" w:rsidRDefault="00AE48F1" w:rsidP="00AE48F1">
      <w:pPr>
        <w:pStyle w:val="a4"/>
      </w:pPr>
      <w:r>
        <w:rPr>
          <w:rStyle w:val="a6"/>
        </w:rPr>
        <w:footnoteRef/>
      </w:r>
      <w:r>
        <w:rPr>
          <w:rtl/>
        </w:rPr>
        <w:t xml:space="preserve"> </w:t>
      </w:r>
      <w:r w:rsidR="00243D2E">
        <w:rPr>
          <w:rtl/>
        </w:rPr>
        <w:tab/>
      </w:r>
      <w:r>
        <w:rPr>
          <w:rFonts w:hint="cs"/>
          <w:rtl/>
        </w:rPr>
        <w:t xml:space="preserve">ראו למשל: </w:t>
      </w:r>
      <w:r w:rsidRPr="00243D2E">
        <w:rPr>
          <w:rFonts w:hint="cs"/>
          <w:b/>
          <w:bCs/>
          <w:rtl/>
        </w:rPr>
        <w:t xml:space="preserve">שו"ת </w:t>
      </w:r>
      <w:proofErr w:type="spellStart"/>
      <w:r w:rsidRPr="00243D2E">
        <w:rPr>
          <w:rFonts w:hint="cs"/>
          <w:b/>
          <w:bCs/>
          <w:rtl/>
        </w:rPr>
        <w:t>מהר"ם</w:t>
      </w:r>
      <w:proofErr w:type="spellEnd"/>
      <w:r w:rsidRPr="00243D2E">
        <w:rPr>
          <w:rFonts w:hint="cs"/>
          <w:b/>
          <w:bCs/>
          <w:rtl/>
        </w:rPr>
        <w:t xml:space="preserve"> </w:t>
      </w:r>
      <w:proofErr w:type="spellStart"/>
      <w:r w:rsidRPr="00243D2E">
        <w:rPr>
          <w:rFonts w:hint="cs"/>
          <w:b/>
          <w:bCs/>
          <w:rtl/>
        </w:rPr>
        <w:t>מרוטנבורג</w:t>
      </w:r>
      <w:proofErr w:type="spellEnd"/>
      <w:r w:rsidRPr="00243D2E">
        <w:rPr>
          <w:rFonts w:hint="cs"/>
          <w:b/>
          <w:bCs/>
          <w:rtl/>
        </w:rPr>
        <w:t xml:space="preserve"> </w:t>
      </w:r>
      <w:r>
        <w:rPr>
          <w:rFonts w:hint="cs"/>
          <w:rtl/>
        </w:rPr>
        <w:t xml:space="preserve">דפוס פראג </w:t>
      </w:r>
      <w:proofErr w:type="spellStart"/>
      <w:r>
        <w:rPr>
          <w:rFonts w:hint="cs"/>
          <w:rtl/>
        </w:rPr>
        <w:t>תקצט</w:t>
      </w:r>
      <w:proofErr w:type="spellEnd"/>
      <w:r>
        <w:rPr>
          <w:rFonts w:hint="cs"/>
          <w:rtl/>
        </w:rPr>
        <w:t xml:space="preserve">; </w:t>
      </w:r>
      <w:r w:rsidRPr="00243D2E">
        <w:rPr>
          <w:rFonts w:hint="cs"/>
          <w:b/>
          <w:bCs/>
          <w:rtl/>
        </w:rPr>
        <w:t>קצות החושן</w:t>
      </w:r>
      <w:r>
        <w:rPr>
          <w:rFonts w:hint="cs"/>
          <w:rtl/>
        </w:rPr>
        <w:t xml:space="preserve"> קח, ב; </w:t>
      </w:r>
      <w:r w:rsidRPr="00243D2E">
        <w:rPr>
          <w:rFonts w:hint="cs"/>
          <w:b/>
          <w:bCs/>
          <w:rtl/>
        </w:rPr>
        <w:t>קובץ שיעורים</w:t>
      </w:r>
      <w:r>
        <w:rPr>
          <w:rFonts w:hint="cs"/>
          <w:rtl/>
        </w:rPr>
        <w:t xml:space="preserve"> כתובות קח.</w:t>
      </w:r>
    </w:p>
  </w:footnote>
  <w:footnote w:id="10">
    <w:p w:rsidR="00152CFA" w:rsidRDefault="00152CFA">
      <w:pPr>
        <w:pStyle w:val="a4"/>
        <w:rPr>
          <w:rtl/>
        </w:rPr>
      </w:pPr>
      <w:r>
        <w:rPr>
          <w:rStyle w:val="a6"/>
        </w:rPr>
        <w:footnoteRef/>
      </w:r>
      <w:r>
        <w:rPr>
          <w:rtl/>
        </w:rPr>
        <w:t xml:space="preserve"> </w:t>
      </w:r>
      <w:r w:rsidR="00243D2E">
        <w:rPr>
          <w:rtl/>
        </w:rPr>
        <w:tab/>
      </w:r>
      <w:r>
        <w:rPr>
          <w:rFonts w:hint="cs"/>
          <w:rtl/>
        </w:rPr>
        <w:t xml:space="preserve">לדיון התלמודי בשאלה זו ראו </w:t>
      </w:r>
      <w:r w:rsidRPr="00243D2E">
        <w:rPr>
          <w:rFonts w:hint="cs"/>
          <w:b/>
          <w:bCs/>
          <w:rtl/>
        </w:rPr>
        <w:t>תלמוד בבלי</w:t>
      </w:r>
      <w:r>
        <w:rPr>
          <w:rFonts w:hint="cs"/>
          <w:rtl/>
        </w:rPr>
        <w:t xml:space="preserve"> מועד קטן </w:t>
      </w:r>
      <w:proofErr w:type="spellStart"/>
      <w:r>
        <w:rPr>
          <w:rFonts w:hint="cs"/>
          <w:rtl/>
        </w:rPr>
        <w:t>יב,ב-יג,א</w:t>
      </w:r>
      <w:proofErr w:type="spellEnd"/>
      <w:r>
        <w:rPr>
          <w:rFonts w:hint="cs"/>
          <w:rtl/>
        </w:rPr>
        <w:t xml:space="preserve">; </w:t>
      </w:r>
      <w:r w:rsidRPr="00243D2E">
        <w:rPr>
          <w:rFonts w:hint="cs"/>
          <w:b/>
          <w:bCs/>
          <w:rtl/>
        </w:rPr>
        <w:t>בכורות</w:t>
      </w:r>
      <w:r>
        <w:rPr>
          <w:rFonts w:hint="cs"/>
          <w:rtl/>
        </w:rPr>
        <w:t xml:space="preserve"> </w:t>
      </w:r>
      <w:proofErr w:type="spellStart"/>
      <w:r>
        <w:rPr>
          <w:rFonts w:hint="cs"/>
          <w:rtl/>
        </w:rPr>
        <w:t>לד,ב</w:t>
      </w:r>
      <w:proofErr w:type="spellEnd"/>
      <w:r>
        <w:rPr>
          <w:rFonts w:hint="cs"/>
          <w:rtl/>
        </w:rPr>
        <w:t>.</w:t>
      </w:r>
    </w:p>
  </w:footnote>
  <w:footnote w:id="11">
    <w:p w:rsidR="00152CFA" w:rsidRDefault="00152CFA">
      <w:pPr>
        <w:pStyle w:val="a4"/>
        <w:rPr>
          <w:rtl/>
        </w:rPr>
      </w:pPr>
      <w:r>
        <w:rPr>
          <w:rStyle w:val="a6"/>
        </w:rPr>
        <w:footnoteRef/>
      </w:r>
      <w:r>
        <w:rPr>
          <w:rtl/>
        </w:rPr>
        <w:t xml:space="preserve"> </w:t>
      </w:r>
      <w:r w:rsidR="00243D2E">
        <w:rPr>
          <w:rtl/>
        </w:rPr>
        <w:tab/>
      </w:r>
      <w:r w:rsidRPr="00243D2E">
        <w:rPr>
          <w:rFonts w:hint="cs"/>
          <w:b/>
          <w:bCs/>
          <w:rtl/>
        </w:rPr>
        <w:t>משנה תורה</w:t>
      </w:r>
      <w:r>
        <w:rPr>
          <w:rFonts w:hint="cs"/>
          <w:rtl/>
        </w:rPr>
        <w:t xml:space="preserve"> שמיטה ויובל א, </w:t>
      </w:r>
      <w:proofErr w:type="spellStart"/>
      <w:r>
        <w:rPr>
          <w:rFonts w:hint="cs"/>
          <w:rtl/>
        </w:rPr>
        <w:t>יג</w:t>
      </w:r>
      <w:proofErr w:type="spellEnd"/>
      <w:r>
        <w:rPr>
          <w:rFonts w:hint="cs"/>
          <w:rtl/>
        </w:rPr>
        <w:t>.</w:t>
      </w:r>
    </w:p>
  </w:footnote>
  <w:footnote w:id="12">
    <w:p w:rsidR="00152CFA" w:rsidRDefault="00152CFA" w:rsidP="00152CFA">
      <w:pPr>
        <w:pStyle w:val="a4"/>
      </w:pPr>
      <w:r>
        <w:rPr>
          <w:rStyle w:val="a6"/>
        </w:rPr>
        <w:footnoteRef/>
      </w:r>
      <w:r>
        <w:rPr>
          <w:rtl/>
        </w:rPr>
        <w:t xml:space="preserve"> </w:t>
      </w:r>
      <w:r w:rsidR="00243D2E">
        <w:rPr>
          <w:rtl/>
        </w:rPr>
        <w:tab/>
      </w:r>
      <w:r>
        <w:rPr>
          <w:rFonts w:hint="cs"/>
          <w:rtl/>
        </w:rPr>
        <w:t xml:space="preserve">שם. </w:t>
      </w:r>
    </w:p>
  </w:footnote>
  <w:footnote w:id="13">
    <w:p w:rsidR="00152CFA" w:rsidRDefault="00152CFA">
      <w:pPr>
        <w:pStyle w:val="a4"/>
      </w:pPr>
      <w:r>
        <w:rPr>
          <w:rStyle w:val="a6"/>
        </w:rPr>
        <w:footnoteRef/>
      </w:r>
      <w:r>
        <w:rPr>
          <w:rtl/>
        </w:rPr>
        <w:t xml:space="preserve"> </w:t>
      </w:r>
      <w:r w:rsidR="00243D2E">
        <w:rPr>
          <w:rtl/>
        </w:rPr>
        <w:tab/>
      </w:r>
      <w:r>
        <w:rPr>
          <w:rFonts w:hint="cs"/>
          <w:rtl/>
        </w:rPr>
        <w:t>ראו</w:t>
      </w:r>
      <w:r w:rsidR="00243D2E">
        <w:rPr>
          <w:rFonts w:hint="cs"/>
          <w:rtl/>
        </w:rPr>
        <w:t>:</w:t>
      </w:r>
      <w:r>
        <w:rPr>
          <w:rFonts w:hint="cs"/>
          <w:rtl/>
        </w:rPr>
        <w:t xml:space="preserve"> </w:t>
      </w:r>
      <w:r w:rsidRPr="00243D2E">
        <w:rPr>
          <w:rFonts w:hint="cs"/>
          <w:b/>
          <w:bCs/>
          <w:rtl/>
        </w:rPr>
        <w:t>משנה תורה</w:t>
      </w:r>
      <w:r>
        <w:rPr>
          <w:rFonts w:hint="cs"/>
          <w:rtl/>
        </w:rPr>
        <w:t xml:space="preserve"> יום טוב ז, ד; עבדים ח, א.</w:t>
      </w:r>
    </w:p>
  </w:footnote>
  <w:footnote w:id="14">
    <w:p w:rsidR="00AE48F1" w:rsidRDefault="00AE48F1">
      <w:pPr>
        <w:pStyle w:val="a4"/>
      </w:pPr>
      <w:r>
        <w:rPr>
          <w:rStyle w:val="a6"/>
        </w:rPr>
        <w:footnoteRef/>
      </w:r>
      <w:r>
        <w:rPr>
          <w:rtl/>
        </w:rPr>
        <w:t xml:space="preserve"> </w:t>
      </w:r>
      <w:r w:rsidR="00243D2E">
        <w:rPr>
          <w:rtl/>
        </w:rPr>
        <w:tab/>
      </w:r>
      <w:r w:rsidRPr="00243D2E">
        <w:rPr>
          <w:rFonts w:hint="cs"/>
          <w:b/>
          <w:bCs/>
          <w:rtl/>
        </w:rPr>
        <w:t>שולחן ערוך</w:t>
      </w:r>
      <w:r>
        <w:rPr>
          <w:rFonts w:hint="cs"/>
          <w:rtl/>
        </w:rPr>
        <w:t xml:space="preserve"> </w:t>
      </w:r>
      <w:proofErr w:type="spellStart"/>
      <w:r>
        <w:rPr>
          <w:rFonts w:hint="cs"/>
          <w:rtl/>
        </w:rPr>
        <w:t>חו"מ</w:t>
      </w:r>
      <w:proofErr w:type="spellEnd"/>
      <w:r>
        <w:rPr>
          <w:rFonts w:hint="cs"/>
          <w:rtl/>
        </w:rPr>
        <w:t xml:space="preserve"> קד, א.</w:t>
      </w:r>
    </w:p>
  </w:footnote>
  <w:footnote w:id="15">
    <w:p w:rsidR="00984235" w:rsidRDefault="00984235">
      <w:pPr>
        <w:pStyle w:val="a4"/>
      </w:pPr>
      <w:r>
        <w:rPr>
          <w:rStyle w:val="a6"/>
        </w:rPr>
        <w:footnoteRef/>
      </w:r>
      <w:r>
        <w:rPr>
          <w:rtl/>
        </w:rPr>
        <w:t xml:space="preserve"> </w:t>
      </w:r>
      <w:r w:rsidR="00243D2E">
        <w:rPr>
          <w:rtl/>
        </w:rPr>
        <w:tab/>
      </w:r>
      <w:r w:rsidRPr="00243D2E">
        <w:rPr>
          <w:rFonts w:hint="cs"/>
          <w:b/>
          <w:bCs/>
          <w:rtl/>
        </w:rPr>
        <w:t>נתיבות המשפט</w:t>
      </w:r>
      <w:r>
        <w:rPr>
          <w:rFonts w:hint="cs"/>
          <w:rtl/>
        </w:rPr>
        <w:t xml:space="preserve"> חידושים </w:t>
      </w:r>
      <w:proofErr w:type="spellStart"/>
      <w:r>
        <w:rPr>
          <w:rFonts w:hint="cs"/>
          <w:rtl/>
        </w:rPr>
        <w:t>חו"מ</w:t>
      </w:r>
      <w:proofErr w:type="spellEnd"/>
      <w:r>
        <w:rPr>
          <w:rFonts w:hint="cs"/>
          <w:rtl/>
        </w:rPr>
        <w:t xml:space="preserve"> קד, </w:t>
      </w:r>
      <w:proofErr w:type="spellStart"/>
      <w:r>
        <w:rPr>
          <w:rFonts w:hint="cs"/>
          <w:rtl/>
        </w:rPr>
        <w:t>ס"ק</w:t>
      </w:r>
      <w:proofErr w:type="spellEnd"/>
      <w:r>
        <w:rPr>
          <w:rFonts w:hint="cs"/>
          <w:rtl/>
        </w:rPr>
        <w:t xml:space="preserve"> א (ע"פ </w:t>
      </w:r>
      <w:proofErr w:type="spellStart"/>
      <w:r>
        <w:rPr>
          <w:rFonts w:hint="cs"/>
          <w:rtl/>
        </w:rPr>
        <w:t>סמ"ע</w:t>
      </w:r>
      <w:proofErr w:type="spellEnd"/>
      <w:r>
        <w:rPr>
          <w:rFonts w:hint="cs"/>
          <w:rtl/>
        </w:rPr>
        <w:t xml:space="preserve"> </w:t>
      </w:r>
      <w:proofErr w:type="spellStart"/>
      <w:r>
        <w:rPr>
          <w:rFonts w:hint="cs"/>
          <w:rtl/>
        </w:rPr>
        <w:t>חו"מ</w:t>
      </w:r>
      <w:proofErr w:type="spellEnd"/>
      <w:r>
        <w:rPr>
          <w:rFonts w:hint="cs"/>
          <w:rtl/>
        </w:rPr>
        <w:t xml:space="preserve"> שם, </w:t>
      </w:r>
      <w:proofErr w:type="spellStart"/>
      <w:r>
        <w:rPr>
          <w:rFonts w:hint="cs"/>
          <w:rtl/>
        </w:rPr>
        <w:t>ס"ק</w:t>
      </w:r>
      <w:proofErr w:type="spellEnd"/>
      <w:r>
        <w:rPr>
          <w:rFonts w:hint="cs"/>
          <w:rtl/>
        </w:rPr>
        <w:t xml:space="preserve"> א). וראו גם</w:t>
      </w:r>
      <w:r w:rsidR="00243D2E">
        <w:rPr>
          <w:rFonts w:hint="cs"/>
          <w:rtl/>
        </w:rPr>
        <w:t>:</w:t>
      </w:r>
      <w:r>
        <w:rPr>
          <w:rFonts w:hint="cs"/>
          <w:rtl/>
        </w:rPr>
        <w:t xml:space="preserve"> </w:t>
      </w:r>
      <w:r w:rsidRPr="00243D2E">
        <w:rPr>
          <w:rFonts w:hint="cs"/>
          <w:b/>
          <w:bCs/>
          <w:rtl/>
        </w:rPr>
        <w:t xml:space="preserve">קצות החושן </w:t>
      </w:r>
      <w:proofErr w:type="spellStart"/>
      <w:r>
        <w:rPr>
          <w:rFonts w:hint="cs"/>
          <w:rtl/>
        </w:rPr>
        <w:t>חו"מ</w:t>
      </w:r>
      <w:proofErr w:type="spellEnd"/>
      <w:r>
        <w:rPr>
          <w:rFonts w:hint="cs"/>
          <w:rtl/>
        </w:rPr>
        <w:t xml:space="preserve"> שם, </w:t>
      </w:r>
      <w:proofErr w:type="spellStart"/>
      <w:r>
        <w:rPr>
          <w:rFonts w:hint="cs"/>
          <w:rtl/>
        </w:rPr>
        <w:t>ס"ק</w:t>
      </w:r>
      <w:proofErr w:type="spellEnd"/>
      <w:r>
        <w:rPr>
          <w:rFonts w:hint="cs"/>
          <w:rtl/>
        </w:rPr>
        <w:t xml:space="preserve"> א; </w:t>
      </w:r>
      <w:r w:rsidRPr="00243D2E">
        <w:rPr>
          <w:rFonts w:hint="cs"/>
          <w:b/>
          <w:bCs/>
          <w:rtl/>
        </w:rPr>
        <w:t>אורים ותומים</w:t>
      </w:r>
      <w:r>
        <w:rPr>
          <w:rFonts w:hint="cs"/>
          <w:rtl/>
        </w:rPr>
        <w:t xml:space="preserve"> </w:t>
      </w:r>
      <w:proofErr w:type="spellStart"/>
      <w:r>
        <w:rPr>
          <w:rFonts w:hint="cs"/>
          <w:rtl/>
        </w:rPr>
        <w:t>חו"מ</w:t>
      </w:r>
      <w:proofErr w:type="spellEnd"/>
      <w:r>
        <w:rPr>
          <w:rFonts w:hint="cs"/>
          <w:rtl/>
        </w:rPr>
        <w:t xml:space="preserve"> שם תומים </w:t>
      </w:r>
      <w:proofErr w:type="spellStart"/>
      <w:r>
        <w:rPr>
          <w:rFonts w:hint="cs"/>
          <w:rtl/>
        </w:rPr>
        <w:t>ס"ק</w:t>
      </w:r>
      <w:proofErr w:type="spellEnd"/>
      <w:r>
        <w:rPr>
          <w:rFonts w:hint="cs"/>
          <w:rtl/>
        </w:rPr>
        <w:t xml:space="preserve"> א; </w:t>
      </w:r>
      <w:r w:rsidRPr="00243D2E">
        <w:rPr>
          <w:rFonts w:hint="cs"/>
          <w:b/>
          <w:bCs/>
          <w:rtl/>
        </w:rPr>
        <w:t xml:space="preserve">ביאור </w:t>
      </w:r>
      <w:proofErr w:type="spellStart"/>
      <w:r w:rsidRPr="00243D2E">
        <w:rPr>
          <w:rFonts w:hint="cs"/>
          <w:b/>
          <w:bCs/>
          <w:rtl/>
        </w:rPr>
        <w:t>הגר"א</w:t>
      </w:r>
      <w:proofErr w:type="spellEnd"/>
      <w:r>
        <w:rPr>
          <w:rFonts w:hint="cs"/>
          <w:rtl/>
        </w:rPr>
        <w:t xml:space="preserve"> </w:t>
      </w:r>
      <w:proofErr w:type="spellStart"/>
      <w:r>
        <w:rPr>
          <w:rFonts w:hint="cs"/>
          <w:rtl/>
        </w:rPr>
        <w:t>חו"מ</w:t>
      </w:r>
      <w:proofErr w:type="spellEnd"/>
      <w:r>
        <w:rPr>
          <w:rFonts w:hint="cs"/>
          <w:rtl/>
        </w:rPr>
        <w:t xml:space="preserve"> שם </w:t>
      </w:r>
      <w:proofErr w:type="spellStart"/>
      <w:r>
        <w:rPr>
          <w:rFonts w:hint="cs"/>
          <w:rtl/>
        </w:rPr>
        <w:t>ס"ק</w:t>
      </w:r>
      <w:proofErr w:type="spellEnd"/>
      <w:r>
        <w:rPr>
          <w:rFonts w:hint="cs"/>
          <w:rtl/>
        </w:rPr>
        <w:t xml:space="preserve"> ב.</w:t>
      </w:r>
    </w:p>
  </w:footnote>
  <w:footnote w:id="16">
    <w:p w:rsidR="00243D2E" w:rsidRDefault="00243D2E" w:rsidP="00C96912">
      <w:pPr>
        <w:pStyle w:val="a4"/>
      </w:pPr>
      <w:r>
        <w:rPr>
          <w:rStyle w:val="a6"/>
        </w:rPr>
        <w:footnoteRef/>
      </w:r>
      <w:r>
        <w:rPr>
          <w:rtl/>
        </w:rPr>
        <w:t xml:space="preserve"> </w:t>
      </w:r>
      <w:r>
        <w:rPr>
          <w:rtl/>
        </w:rPr>
        <w:tab/>
      </w:r>
      <w:r>
        <w:rPr>
          <w:rFonts w:hint="cs"/>
          <w:rtl/>
        </w:rPr>
        <w:t>ההבחנה</w:t>
      </w:r>
      <w:r>
        <w:rPr>
          <w:rtl/>
        </w:rPr>
        <w:t xml:space="preserve"> </w:t>
      </w:r>
      <w:r>
        <w:rPr>
          <w:rFonts w:hint="cs"/>
          <w:rtl/>
        </w:rPr>
        <w:t>שבין</w:t>
      </w:r>
      <w:r>
        <w:rPr>
          <w:rtl/>
        </w:rPr>
        <w:t xml:space="preserve"> </w:t>
      </w:r>
      <w:r>
        <w:rPr>
          <w:rFonts w:hint="cs"/>
          <w:rtl/>
        </w:rPr>
        <w:t>גביה</w:t>
      </w:r>
      <w:r>
        <w:rPr>
          <w:rtl/>
        </w:rPr>
        <w:t xml:space="preserve"> </w:t>
      </w:r>
      <w:r>
        <w:rPr>
          <w:rFonts w:hint="cs"/>
          <w:rtl/>
        </w:rPr>
        <w:t>ממקרקעין</w:t>
      </w:r>
      <w:r>
        <w:rPr>
          <w:rtl/>
        </w:rPr>
        <w:t xml:space="preserve"> </w:t>
      </w:r>
      <w:r>
        <w:rPr>
          <w:rFonts w:hint="cs"/>
          <w:rtl/>
        </w:rPr>
        <w:t>לגביה</w:t>
      </w:r>
      <w:r>
        <w:rPr>
          <w:rtl/>
        </w:rPr>
        <w:t xml:space="preserve"> </w:t>
      </w:r>
      <w:r>
        <w:rPr>
          <w:rFonts w:hint="cs"/>
          <w:rtl/>
        </w:rPr>
        <w:t>ממיטלטלין</w:t>
      </w:r>
      <w:r>
        <w:rPr>
          <w:rtl/>
        </w:rPr>
        <w:t xml:space="preserve"> </w:t>
      </w:r>
      <w:r>
        <w:rPr>
          <w:rFonts w:hint="cs"/>
          <w:rtl/>
        </w:rPr>
        <w:t>מבוססת</w:t>
      </w:r>
      <w:r>
        <w:rPr>
          <w:rtl/>
        </w:rPr>
        <w:t xml:space="preserve"> </w:t>
      </w:r>
      <w:r>
        <w:rPr>
          <w:rFonts w:hint="cs"/>
          <w:rtl/>
        </w:rPr>
        <w:t>על</w:t>
      </w:r>
      <w:r>
        <w:rPr>
          <w:rtl/>
        </w:rPr>
        <w:t xml:space="preserve"> </w:t>
      </w:r>
      <w:r>
        <w:rPr>
          <w:rFonts w:hint="cs"/>
          <w:rtl/>
        </w:rPr>
        <w:t>כך שמקרקעין משתעבדים לטובת פירעון החוב בעוד שמיטלטלין אינם משתעבדים. הסיבה לכך היא, שלשינוי</w:t>
      </w:r>
      <w:r>
        <w:rPr>
          <w:rtl/>
        </w:rPr>
        <w:t xml:space="preserve"> </w:t>
      </w:r>
      <w:r>
        <w:rPr>
          <w:rFonts w:hint="cs"/>
          <w:rtl/>
        </w:rPr>
        <w:t>במעמדם</w:t>
      </w:r>
      <w:r>
        <w:rPr>
          <w:rtl/>
        </w:rPr>
        <w:t xml:space="preserve"> </w:t>
      </w:r>
      <w:r>
        <w:rPr>
          <w:rFonts w:hint="cs"/>
          <w:rtl/>
        </w:rPr>
        <w:t>של</w:t>
      </w:r>
      <w:r>
        <w:rPr>
          <w:rtl/>
        </w:rPr>
        <w:t xml:space="preserve"> </w:t>
      </w:r>
      <w:r>
        <w:rPr>
          <w:rFonts w:hint="cs"/>
          <w:rtl/>
        </w:rPr>
        <w:t>מקרקעין</w:t>
      </w:r>
      <w:r>
        <w:rPr>
          <w:rtl/>
        </w:rPr>
        <w:t xml:space="preserve"> </w:t>
      </w:r>
      <w:r>
        <w:rPr>
          <w:rFonts w:hint="cs"/>
          <w:rtl/>
        </w:rPr>
        <w:t>יש</w:t>
      </w:r>
      <w:r>
        <w:rPr>
          <w:rtl/>
        </w:rPr>
        <w:t xml:space="preserve"> </w:t>
      </w:r>
      <w:r>
        <w:rPr>
          <w:rFonts w:hint="cs"/>
          <w:rtl/>
        </w:rPr>
        <w:t>פרסום</w:t>
      </w:r>
      <w:r>
        <w:rPr>
          <w:rtl/>
        </w:rPr>
        <w:t xml:space="preserve"> ('</w:t>
      </w:r>
      <w:r>
        <w:rPr>
          <w:rFonts w:hint="cs"/>
          <w:rtl/>
        </w:rPr>
        <w:t>קול</w:t>
      </w:r>
      <w:r>
        <w:rPr>
          <w:rtl/>
        </w:rPr>
        <w:t xml:space="preserve">'), </w:t>
      </w:r>
      <w:r>
        <w:rPr>
          <w:rFonts w:hint="cs"/>
          <w:rtl/>
        </w:rPr>
        <w:t>לפיכך</w:t>
      </w:r>
      <w:r>
        <w:rPr>
          <w:rtl/>
        </w:rPr>
        <w:t xml:space="preserve">, </w:t>
      </w:r>
      <w:proofErr w:type="spellStart"/>
      <w:r>
        <w:rPr>
          <w:rFonts w:hint="cs"/>
          <w:rtl/>
        </w:rPr>
        <w:t>השיעבוד</w:t>
      </w:r>
      <w:proofErr w:type="spellEnd"/>
      <w:r>
        <w:rPr>
          <w:rtl/>
        </w:rPr>
        <w:t xml:space="preserve"> </w:t>
      </w:r>
      <w:r>
        <w:rPr>
          <w:rFonts w:hint="cs"/>
          <w:rtl/>
        </w:rPr>
        <w:t>אינו</w:t>
      </w:r>
      <w:r>
        <w:rPr>
          <w:rtl/>
        </w:rPr>
        <w:t xml:space="preserve"> </w:t>
      </w:r>
      <w:r>
        <w:rPr>
          <w:rFonts w:hint="cs"/>
          <w:rtl/>
        </w:rPr>
        <w:t>פוגע</w:t>
      </w:r>
      <w:r>
        <w:rPr>
          <w:rtl/>
        </w:rPr>
        <w:t xml:space="preserve"> </w:t>
      </w:r>
      <w:r>
        <w:rPr>
          <w:rFonts w:hint="cs"/>
          <w:rtl/>
        </w:rPr>
        <w:t>יתר על המידה בנושה, משום שהיה</w:t>
      </w:r>
      <w:r>
        <w:rPr>
          <w:rtl/>
        </w:rPr>
        <w:t xml:space="preserve"> </w:t>
      </w:r>
      <w:r>
        <w:rPr>
          <w:rFonts w:hint="cs"/>
          <w:rtl/>
        </w:rPr>
        <w:t>בידו</w:t>
      </w:r>
      <w:r>
        <w:rPr>
          <w:rtl/>
        </w:rPr>
        <w:t xml:space="preserve"> </w:t>
      </w:r>
      <w:r>
        <w:rPr>
          <w:rFonts w:hint="cs"/>
          <w:rtl/>
        </w:rPr>
        <w:t>לגלות</w:t>
      </w:r>
      <w:r>
        <w:rPr>
          <w:rtl/>
        </w:rPr>
        <w:t xml:space="preserve"> </w:t>
      </w:r>
      <w:r>
        <w:rPr>
          <w:rFonts w:hint="cs"/>
          <w:rtl/>
        </w:rPr>
        <w:t>את</w:t>
      </w:r>
      <w:r>
        <w:rPr>
          <w:rtl/>
        </w:rPr>
        <w:t xml:space="preserve"> </w:t>
      </w:r>
      <w:r>
        <w:rPr>
          <w:rFonts w:hint="cs"/>
          <w:rtl/>
        </w:rPr>
        <w:t>דבר</w:t>
      </w:r>
      <w:r>
        <w:rPr>
          <w:rtl/>
        </w:rPr>
        <w:t xml:space="preserve"> </w:t>
      </w:r>
      <w:r>
        <w:rPr>
          <w:rFonts w:hint="cs"/>
          <w:rtl/>
        </w:rPr>
        <w:t>קיומו</w:t>
      </w:r>
      <w:r>
        <w:rPr>
          <w:rtl/>
        </w:rPr>
        <w:t xml:space="preserve"> </w:t>
      </w:r>
      <w:r>
        <w:rPr>
          <w:rFonts w:hint="cs"/>
          <w:rtl/>
        </w:rPr>
        <w:t>של</w:t>
      </w:r>
      <w:r>
        <w:rPr>
          <w:rtl/>
        </w:rPr>
        <w:t xml:space="preserve"> </w:t>
      </w:r>
      <w:r>
        <w:rPr>
          <w:rFonts w:hint="cs"/>
          <w:rtl/>
        </w:rPr>
        <w:t>השעבוד</w:t>
      </w:r>
      <w:r>
        <w:rPr>
          <w:rtl/>
        </w:rPr>
        <w:t xml:space="preserve">, </w:t>
      </w:r>
      <w:r>
        <w:rPr>
          <w:rFonts w:hint="cs"/>
          <w:rtl/>
        </w:rPr>
        <w:t>ואם</w:t>
      </w:r>
      <w:r>
        <w:rPr>
          <w:rtl/>
        </w:rPr>
        <w:t xml:space="preserve"> </w:t>
      </w:r>
      <w:r>
        <w:rPr>
          <w:rFonts w:hint="cs"/>
          <w:rtl/>
        </w:rPr>
        <w:t>לא</w:t>
      </w:r>
      <w:r>
        <w:rPr>
          <w:rtl/>
        </w:rPr>
        <w:t xml:space="preserve"> </w:t>
      </w:r>
      <w:r>
        <w:rPr>
          <w:rFonts w:hint="cs"/>
          <w:rtl/>
        </w:rPr>
        <w:t>עשה</w:t>
      </w:r>
      <w:r>
        <w:rPr>
          <w:rtl/>
        </w:rPr>
        <w:t xml:space="preserve"> </w:t>
      </w:r>
      <w:r>
        <w:rPr>
          <w:rFonts w:hint="cs"/>
          <w:rtl/>
        </w:rPr>
        <w:t>כן</w:t>
      </w:r>
      <w:r>
        <w:rPr>
          <w:rtl/>
        </w:rPr>
        <w:t xml:space="preserve">, </w:t>
      </w:r>
      <w:r>
        <w:rPr>
          <w:rFonts w:hint="cs"/>
          <w:rtl/>
        </w:rPr>
        <w:t>הוא</w:t>
      </w:r>
      <w:r>
        <w:rPr>
          <w:rtl/>
        </w:rPr>
        <w:t xml:space="preserve"> </w:t>
      </w:r>
      <w:r>
        <w:rPr>
          <w:rFonts w:hint="cs"/>
          <w:rtl/>
        </w:rPr>
        <w:t>זה</w:t>
      </w:r>
      <w:r>
        <w:rPr>
          <w:rtl/>
        </w:rPr>
        <w:t xml:space="preserve"> </w:t>
      </w:r>
      <w:r>
        <w:rPr>
          <w:rFonts w:hint="cs"/>
          <w:rtl/>
        </w:rPr>
        <w:t>שגרם</w:t>
      </w:r>
      <w:r>
        <w:rPr>
          <w:rtl/>
        </w:rPr>
        <w:t xml:space="preserve"> </w:t>
      </w:r>
      <w:r>
        <w:rPr>
          <w:rFonts w:hint="cs"/>
          <w:rtl/>
        </w:rPr>
        <w:t>את</w:t>
      </w:r>
      <w:r>
        <w:rPr>
          <w:rtl/>
        </w:rPr>
        <w:t xml:space="preserve"> </w:t>
      </w:r>
      <w:r>
        <w:rPr>
          <w:rFonts w:hint="cs"/>
          <w:rtl/>
        </w:rPr>
        <w:t>ההפסד</w:t>
      </w:r>
      <w:r>
        <w:rPr>
          <w:rtl/>
        </w:rPr>
        <w:t xml:space="preserve"> </w:t>
      </w:r>
      <w:r>
        <w:rPr>
          <w:rFonts w:hint="cs"/>
          <w:rtl/>
        </w:rPr>
        <w:t>לעצמו</w:t>
      </w:r>
      <w:r>
        <w:rPr>
          <w:rtl/>
        </w:rPr>
        <w:t xml:space="preserve">.  </w:t>
      </w:r>
      <w:r>
        <w:rPr>
          <w:rFonts w:hint="cs"/>
          <w:rtl/>
        </w:rPr>
        <w:t>לעומת זאת, לשינוי במעמדם של מיטלטלין</w:t>
      </w:r>
      <w:r>
        <w:rPr>
          <w:rtl/>
        </w:rPr>
        <w:t xml:space="preserve"> </w:t>
      </w:r>
      <w:r>
        <w:rPr>
          <w:rFonts w:hint="cs"/>
          <w:rtl/>
        </w:rPr>
        <w:t>אין</w:t>
      </w:r>
      <w:r>
        <w:rPr>
          <w:rtl/>
        </w:rPr>
        <w:t xml:space="preserve"> </w:t>
      </w:r>
      <w:r>
        <w:rPr>
          <w:rFonts w:hint="cs"/>
          <w:rtl/>
        </w:rPr>
        <w:t>תהודה</w:t>
      </w:r>
      <w:r>
        <w:rPr>
          <w:rtl/>
        </w:rPr>
        <w:t xml:space="preserve"> </w:t>
      </w:r>
      <w:r>
        <w:rPr>
          <w:rFonts w:hint="cs"/>
          <w:rtl/>
        </w:rPr>
        <w:t xml:space="preserve">רבה, ובשל כך, שיעבוד המיטלטלין יפגע </w:t>
      </w:r>
      <w:r w:rsidR="00C96912">
        <w:rPr>
          <w:rFonts w:hint="cs"/>
          <w:rtl/>
        </w:rPr>
        <w:t>בעניינו של הנושה</w:t>
      </w:r>
      <w:r>
        <w:rPr>
          <w:rtl/>
        </w:rPr>
        <w:t xml:space="preserve">. </w:t>
      </w:r>
      <w:r w:rsidR="00C96912">
        <w:rPr>
          <w:rFonts w:hint="cs"/>
          <w:rtl/>
        </w:rPr>
        <w:t xml:space="preserve">לעיקרון זה ראו, </w:t>
      </w:r>
      <w:r w:rsidR="00C96912" w:rsidRPr="00C96912">
        <w:rPr>
          <w:rFonts w:hint="cs"/>
          <w:b/>
          <w:bCs/>
          <w:rtl/>
        </w:rPr>
        <w:t>משנה תורה</w:t>
      </w:r>
      <w:r w:rsidR="00C96912">
        <w:rPr>
          <w:rFonts w:hint="cs"/>
          <w:rtl/>
        </w:rPr>
        <w:t xml:space="preserve"> </w:t>
      </w:r>
      <w:proofErr w:type="spellStart"/>
      <w:r w:rsidR="00C96912">
        <w:rPr>
          <w:rFonts w:hint="cs"/>
          <w:rtl/>
        </w:rPr>
        <w:t>מלוה</w:t>
      </w:r>
      <w:proofErr w:type="spellEnd"/>
      <w:r w:rsidR="00C96912">
        <w:rPr>
          <w:rFonts w:hint="cs"/>
          <w:rtl/>
        </w:rPr>
        <w:t xml:space="preserve"> ולווה יא, ז.</w:t>
      </w:r>
    </w:p>
  </w:footnote>
  <w:footnote w:id="17">
    <w:p w:rsidR="0058412C" w:rsidRDefault="0058412C">
      <w:pPr>
        <w:pStyle w:val="a4"/>
      </w:pPr>
      <w:r>
        <w:rPr>
          <w:rStyle w:val="a6"/>
        </w:rPr>
        <w:footnoteRef/>
      </w:r>
      <w:r>
        <w:rPr>
          <w:rtl/>
        </w:rPr>
        <w:t xml:space="preserve"> </w:t>
      </w:r>
      <w:r w:rsidR="00C96912">
        <w:rPr>
          <w:rtl/>
        </w:rPr>
        <w:tab/>
      </w:r>
      <w:r w:rsidRPr="00C96912">
        <w:rPr>
          <w:rFonts w:hint="cs"/>
          <w:b/>
          <w:bCs/>
          <w:rtl/>
        </w:rPr>
        <w:t>שולחן ערוך</w:t>
      </w:r>
      <w:r>
        <w:rPr>
          <w:rFonts w:hint="cs"/>
          <w:rtl/>
        </w:rPr>
        <w:t xml:space="preserve"> </w:t>
      </w:r>
      <w:proofErr w:type="spellStart"/>
      <w:r>
        <w:rPr>
          <w:rFonts w:hint="cs"/>
          <w:rtl/>
        </w:rPr>
        <w:t>חו"מ</w:t>
      </w:r>
      <w:proofErr w:type="spellEnd"/>
      <w:r>
        <w:rPr>
          <w:rFonts w:hint="cs"/>
          <w:rtl/>
        </w:rPr>
        <w:t xml:space="preserve"> קד, ג.</w:t>
      </w:r>
    </w:p>
  </w:footnote>
  <w:footnote w:id="18">
    <w:p w:rsidR="00717EBF" w:rsidRDefault="00717EBF">
      <w:pPr>
        <w:pStyle w:val="a4"/>
      </w:pPr>
      <w:r>
        <w:rPr>
          <w:rStyle w:val="a6"/>
        </w:rPr>
        <w:footnoteRef/>
      </w:r>
      <w:r>
        <w:rPr>
          <w:rtl/>
        </w:rPr>
        <w:t xml:space="preserve"> </w:t>
      </w:r>
      <w:r w:rsidR="00C96912">
        <w:rPr>
          <w:rtl/>
        </w:rPr>
        <w:tab/>
      </w:r>
      <w:r w:rsidRPr="00C96912">
        <w:rPr>
          <w:rFonts w:hint="cs"/>
          <w:b/>
          <w:bCs/>
          <w:rtl/>
        </w:rPr>
        <w:t xml:space="preserve">פסקי </w:t>
      </w:r>
      <w:proofErr w:type="spellStart"/>
      <w:r w:rsidRPr="00C96912">
        <w:rPr>
          <w:rFonts w:hint="cs"/>
          <w:b/>
          <w:bCs/>
          <w:rtl/>
        </w:rPr>
        <w:t>הרא"ש</w:t>
      </w:r>
      <w:proofErr w:type="spellEnd"/>
      <w:r>
        <w:rPr>
          <w:rFonts w:hint="cs"/>
          <w:rtl/>
        </w:rPr>
        <w:t xml:space="preserve"> כתובות ט, יא; </w:t>
      </w:r>
      <w:r w:rsidRPr="00C96912">
        <w:rPr>
          <w:rFonts w:hint="cs"/>
          <w:b/>
          <w:bCs/>
          <w:rtl/>
        </w:rPr>
        <w:t xml:space="preserve">ביאור </w:t>
      </w:r>
      <w:proofErr w:type="spellStart"/>
      <w:r w:rsidRPr="00C96912">
        <w:rPr>
          <w:rFonts w:hint="cs"/>
          <w:b/>
          <w:bCs/>
          <w:rtl/>
        </w:rPr>
        <w:t>הגר"א</w:t>
      </w:r>
      <w:proofErr w:type="spellEnd"/>
      <w:r w:rsidRPr="00C96912">
        <w:rPr>
          <w:rFonts w:hint="cs"/>
          <w:b/>
          <w:bCs/>
          <w:rtl/>
        </w:rPr>
        <w:t xml:space="preserve"> </w:t>
      </w:r>
      <w:proofErr w:type="spellStart"/>
      <w:r>
        <w:rPr>
          <w:rFonts w:hint="cs"/>
          <w:rtl/>
        </w:rPr>
        <w:t>חו"מ</w:t>
      </w:r>
      <w:proofErr w:type="spellEnd"/>
      <w:r>
        <w:rPr>
          <w:rFonts w:hint="cs"/>
          <w:rtl/>
        </w:rPr>
        <w:t xml:space="preserve"> קד, כה. </w:t>
      </w:r>
    </w:p>
  </w:footnote>
  <w:footnote w:id="19">
    <w:p w:rsidR="00084329" w:rsidRDefault="00084329">
      <w:pPr>
        <w:pStyle w:val="a4"/>
      </w:pPr>
      <w:r>
        <w:rPr>
          <w:rStyle w:val="a6"/>
        </w:rPr>
        <w:footnoteRef/>
      </w:r>
      <w:r>
        <w:rPr>
          <w:rtl/>
        </w:rPr>
        <w:t xml:space="preserve"> </w:t>
      </w:r>
      <w:r w:rsidR="00C96912">
        <w:rPr>
          <w:rtl/>
        </w:rPr>
        <w:tab/>
      </w:r>
      <w:r w:rsidRPr="00C96912">
        <w:rPr>
          <w:rFonts w:hint="cs"/>
          <w:b/>
          <w:bCs/>
          <w:rtl/>
        </w:rPr>
        <w:t xml:space="preserve">שו"ת אגרות משה </w:t>
      </w:r>
      <w:proofErr w:type="spellStart"/>
      <w:r>
        <w:rPr>
          <w:rFonts w:hint="cs"/>
          <w:rtl/>
        </w:rPr>
        <w:t>חו"מ</w:t>
      </w:r>
      <w:proofErr w:type="spellEnd"/>
      <w:r>
        <w:rPr>
          <w:rFonts w:hint="cs"/>
          <w:rtl/>
        </w:rPr>
        <w:t xml:space="preserve"> ב, סב.</w:t>
      </w:r>
    </w:p>
  </w:footnote>
  <w:footnote w:id="20">
    <w:p w:rsidR="00190113" w:rsidRDefault="00190113" w:rsidP="00E27BBF">
      <w:pPr>
        <w:pStyle w:val="a4"/>
      </w:pPr>
      <w:r>
        <w:rPr>
          <w:rStyle w:val="a6"/>
        </w:rPr>
        <w:footnoteRef/>
      </w:r>
      <w:r>
        <w:rPr>
          <w:rtl/>
        </w:rPr>
        <w:t xml:space="preserve"> </w:t>
      </w:r>
      <w:r w:rsidR="00C96912">
        <w:rPr>
          <w:rtl/>
        </w:rPr>
        <w:tab/>
      </w:r>
      <w:r w:rsidRPr="00C96912">
        <w:rPr>
          <w:rFonts w:hint="cs"/>
          <w:b/>
          <w:bCs/>
          <w:rtl/>
        </w:rPr>
        <w:t>שו״ת</w:t>
      </w:r>
      <w:r w:rsidRPr="00C96912">
        <w:rPr>
          <w:b/>
          <w:bCs/>
          <w:rtl/>
        </w:rPr>
        <w:t xml:space="preserve"> </w:t>
      </w:r>
      <w:proofErr w:type="spellStart"/>
      <w:r w:rsidRPr="00C96912">
        <w:rPr>
          <w:rFonts w:hint="cs"/>
          <w:b/>
          <w:bCs/>
          <w:rtl/>
        </w:rPr>
        <w:t>הרי״ף</w:t>
      </w:r>
      <w:proofErr w:type="spellEnd"/>
      <w:r w:rsidRPr="00C96912">
        <w:rPr>
          <w:b/>
          <w:bCs/>
          <w:rtl/>
        </w:rPr>
        <w:t xml:space="preserve"> </w:t>
      </w:r>
      <w:proofErr w:type="spellStart"/>
      <w:r w:rsidRPr="00190113">
        <w:rPr>
          <w:rFonts w:hint="cs"/>
          <w:rtl/>
        </w:rPr>
        <w:t>בילגוריי</w:t>
      </w:r>
      <w:proofErr w:type="spellEnd"/>
      <w:r w:rsidRPr="00190113">
        <w:rPr>
          <w:rtl/>
        </w:rPr>
        <w:t xml:space="preserve"> </w:t>
      </w:r>
      <w:r w:rsidRPr="00190113">
        <w:rPr>
          <w:rFonts w:hint="cs"/>
          <w:rtl/>
        </w:rPr>
        <w:t>סי׳</w:t>
      </w:r>
      <w:r w:rsidRPr="00190113">
        <w:rPr>
          <w:rtl/>
        </w:rPr>
        <w:t xml:space="preserve"> </w:t>
      </w:r>
      <w:r w:rsidRPr="00190113">
        <w:rPr>
          <w:rFonts w:hint="cs"/>
          <w:rtl/>
        </w:rPr>
        <w:t>פ״א</w:t>
      </w:r>
      <w:r>
        <w:rPr>
          <w:rFonts w:hint="cs"/>
          <w:rtl/>
        </w:rPr>
        <w:t>. וראו דיון בדבריו ב</w:t>
      </w:r>
      <w:r w:rsidRPr="00C96912">
        <w:rPr>
          <w:rFonts w:hint="cs"/>
          <w:b/>
          <w:bCs/>
          <w:rtl/>
        </w:rPr>
        <w:t>בית יוסף</w:t>
      </w:r>
      <w:r>
        <w:rPr>
          <w:rFonts w:hint="cs"/>
          <w:rtl/>
        </w:rPr>
        <w:t xml:space="preserve"> </w:t>
      </w:r>
      <w:proofErr w:type="spellStart"/>
      <w:r>
        <w:rPr>
          <w:rFonts w:hint="cs"/>
          <w:rtl/>
        </w:rPr>
        <w:t>חו"מ</w:t>
      </w:r>
      <w:proofErr w:type="spellEnd"/>
      <w:r>
        <w:rPr>
          <w:rFonts w:hint="cs"/>
          <w:rtl/>
        </w:rPr>
        <w:t xml:space="preserve"> </w:t>
      </w:r>
      <w:proofErr w:type="spellStart"/>
      <w:r>
        <w:rPr>
          <w:rFonts w:hint="cs"/>
          <w:rtl/>
        </w:rPr>
        <w:t>צז</w:t>
      </w:r>
      <w:proofErr w:type="spellEnd"/>
      <w:r>
        <w:rPr>
          <w:rFonts w:hint="cs"/>
          <w:rtl/>
        </w:rPr>
        <w:t xml:space="preserve">, </w:t>
      </w:r>
      <w:proofErr w:type="spellStart"/>
      <w:r>
        <w:rPr>
          <w:rFonts w:hint="cs"/>
          <w:rtl/>
        </w:rPr>
        <w:t>מב</w:t>
      </w:r>
      <w:proofErr w:type="spellEnd"/>
      <w:r>
        <w:rPr>
          <w:rFonts w:hint="cs"/>
          <w:rtl/>
        </w:rPr>
        <w:t xml:space="preserve">; </w:t>
      </w:r>
      <w:r w:rsidR="00E27BBF">
        <w:rPr>
          <w:rFonts w:hint="cs"/>
          <w:rtl/>
        </w:rPr>
        <w:t>ובהרחבה בפסק הדין של בית</w:t>
      </w:r>
      <w:r w:rsidR="00E27BBF">
        <w:rPr>
          <w:rtl/>
        </w:rPr>
        <w:t xml:space="preserve"> </w:t>
      </w:r>
      <w:r w:rsidR="00E27BBF">
        <w:rPr>
          <w:rFonts w:hint="cs"/>
          <w:rtl/>
        </w:rPr>
        <w:t>הדין</w:t>
      </w:r>
      <w:r w:rsidR="00E27BBF">
        <w:rPr>
          <w:rtl/>
        </w:rPr>
        <w:t xml:space="preserve"> </w:t>
      </w:r>
      <w:r w:rsidR="00E27BBF">
        <w:rPr>
          <w:rFonts w:hint="cs"/>
          <w:rtl/>
        </w:rPr>
        <w:t>הגדול בתיק</w:t>
      </w:r>
      <w:r w:rsidR="00E27BBF">
        <w:rPr>
          <w:rtl/>
        </w:rPr>
        <w:t xml:space="preserve"> 887868-2</w:t>
      </w:r>
      <w:r w:rsidR="00E27BBF">
        <w:rPr>
          <w:rFonts w:hint="cs"/>
          <w:rtl/>
        </w:rPr>
        <w:t xml:space="preserve"> </w:t>
      </w:r>
      <w:r w:rsidR="00E27BBF" w:rsidRPr="00C96912">
        <w:rPr>
          <w:rFonts w:hint="cs"/>
          <w:b/>
          <w:bCs/>
          <w:rtl/>
        </w:rPr>
        <w:t xml:space="preserve">פלוני נ' פלונית </w:t>
      </w:r>
      <w:r w:rsidR="00E27BBF">
        <w:rPr>
          <w:rFonts w:hint="cs"/>
          <w:rtl/>
        </w:rPr>
        <w:t>ובפסק הדין של בית הדין האזורי ברחובות, תיק</w:t>
      </w:r>
      <w:r w:rsidR="00E27BBF">
        <w:rPr>
          <w:rtl/>
        </w:rPr>
        <w:t xml:space="preserve"> 948460/3</w:t>
      </w:r>
      <w:r w:rsidR="00E27BBF">
        <w:rPr>
          <w:rFonts w:hint="cs"/>
          <w:rtl/>
        </w:rPr>
        <w:t xml:space="preserve"> </w:t>
      </w:r>
      <w:r w:rsidR="00E27BBF" w:rsidRPr="0071080F">
        <w:rPr>
          <w:rFonts w:hint="cs"/>
          <w:b/>
          <w:bCs/>
          <w:rtl/>
        </w:rPr>
        <w:t>פלונית נ' פלוני</w:t>
      </w:r>
      <w:r w:rsidR="00E27BBF">
        <w:rPr>
          <w:rFonts w:hint="cs"/>
          <w:rtl/>
        </w:rPr>
        <w:t xml:space="preserve"> (שני פסקי הדין פורסמו באתר 'דעת'). </w:t>
      </w:r>
    </w:p>
  </w:footnote>
  <w:footnote w:id="21">
    <w:p w:rsidR="00E27BBF" w:rsidRDefault="00E27BBF">
      <w:pPr>
        <w:pStyle w:val="a4"/>
      </w:pPr>
      <w:r>
        <w:rPr>
          <w:rStyle w:val="a6"/>
        </w:rPr>
        <w:footnoteRef/>
      </w:r>
      <w:r>
        <w:rPr>
          <w:rtl/>
        </w:rPr>
        <w:t xml:space="preserve"> </w:t>
      </w:r>
      <w:r w:rsidR="0071080F">
        <w:rPr>
          <w:rtl/>
        </w:rPr>
        <w:tab/>
      </w:r>
      <w:r w:rsidRPr="0071080F">
        <w:rPr>
          <w:rFonts w:hint="cs"/>
          <w:b/>
          <w:bCs/>
          <w:rtl/>
        </w:rPr>
        <w:t>משנה תורה</w:t>
      </w:r>
      <w:r>
        <w:rPr>
          <w:rFonts w:hint="cs"/>
          <w:rtl/>
        </w:rPr>
        <w:t xml:space="preserve"> </w:t>
      </w:r>
      <w:proofErr w:type="spellStart"/>
      <w:r>
        <w:rPr>
          <w:rFonts w:hint="cs"/>
          <w:rtl/>
        </w:rPr>
        <w:t>מלוה</w:t>
      </w:r>
      <w:proofErr w:type="spellEnd"/>
      <w:r>
        <w:rPr>
          <w:rFonts w:hint="cs"/>
          <w:rtl/>
        </w:rPr>
        <w:t xml:space="preserve"> ולווה א, ח.</w:t>
      </w:r>
    </w:p>
  </w:footnote>
  <w:footnote w:id="22">
    <w:p w:rsidR="00190113" w:rsidRDefault="00190113">
      <w:pPr>
        <w:pStyle w:val="a4"/>
      </w:pPr>
      <w:r>
        <w:rPr>
          <w:rStyle w:val="a6"/>
        </w:rPr>
        <w:footnoteRef/>
      </w:r>
      <w:r>
        <w:rPr>
          <w:rtl/>
        </w:rPr>
        <w:t xml:space="preserve"> </w:t>
      </w:r>
      <w:r w:rsidR="0071080F">
        <w:rPr>
          <w:rtl/>
        </w:rPr>
        <w:tab/>
      </w:r>
      <w:r w:rsidR="0071080F" w:rsidRPr="0071080F">
        <w:rPr>
          <w:rFonts w:hint="cs"/>
          <w:b/>
          <w:bCs/>
          <w:rtl/>
        </w:rPr>
        <w:t xml:space="preserve">תלמוד בבלי </w:t>
      </w:r>
      <w:r w:rsidR="0071080F">
        <w:rPr>
          <w:rFonts w:hint="cs"/>
          <w:rtl/>
        </w:rPr>
        <w:t xml:space="preserve">כתובות </w:t>
      </w:r>
      <w:proofErr w:type="spellStart"/>
      <w:r w:rsidR="0071080F">
        <w:rPr>
          <w:rFonts w:hint="cs"/>
          <w:rtl/>
        </w:rPr>
        <w:t>פו,א</w:t>
      </w:r>
      <w:proofErr w:type="spellEnd"/>
      <w:r w:rsidR="0071080F">
        <w:rPr>
          <w:rFonts w:hint="cs"/>
          <w:rtl/>
        </w:rPr>
        <w:t xml:space="preserve"> </w:t>
      </w:r>
      <w:r w:rsidR="0071080F">
        <w:rPr>
          <w:rtl/>
        </w:rPr>
        <w:t>–</w:t>
      </w:r>
      <w:r w:rsidR="0071080F">
        <w:rPr>
          <w:rFonts w:hint="cs"/>
          <w:rtl/>
        </w:rPr>
        <w:t xml:space="preserve"> </w:t>
      </w:r>
      <w:proofErr w:type="spellStart"/>
      <w:r w:rsidR="0071080F">
        <w:rPr>
          <w:rFonts w:hint="cs"/>
          <w:rtl/>
        </w:rPr>
        <w:t>פו,ב</w:t>
      </w:r>
      <w:proofErr w:type="spellEnd"/>
      <w:r w:rsidR="0071080F">
        <w:rPr>
          <w:rFonts w:hint="cs"/>
          <w:rtl/>
        </w:rPr>
        <w:t>.</w:t>
      </w:r>
    </w:p>
  </w:footnote>
  <w:footnote w:id="23">
    <w:p w:rsidR="009F4B3F" w:rsidRDefault="009F4B3F">
      <w:pPr>
        <w:pStyle w:val="a4"/>
        <w:rPr>
          <w:rtl/>
        </w:rPr>
      </w:pPr>
      <w:r>
        <w:rPr>
          <w:rStyle w:val="a6"/>
        </w:rPr>
        <w:footnoteRef/>
      </w:r>
      <w:r>
        <w:rPr>
          <w:rtl/>
        </w:rPr>
        <w:t xml:space="preserve"> </w:t>
      </w:r>
      <w:r w:rsidR="0071080F">
        <w:rPr>
          <w:rtl/>
        </w:rPr>
        <w:tab/>
      </w:r>
      <w:r w:rsidRPr="0071080F">
        <w:rPr>
          <w:rFonts w:hint="cs"/>
          <w:b/>
          <w:bCs/>
          <w:rtl/>
        </w:rPr>
        <w:t xml:space="preserve">תוספות </w:t>
      </w:r>
      <w:r>
        <w:rPr>
          <w:rFonts w:hint="cs"/>
          <w:rtl/>
        </w:rPr>
        <w:t xml:space="preserve">בבא קמא </w:t>
      </w:r>
      <w:proofErr w:type="spellStart"/>
      <w:r>
        <w:rPr>
          <w:rFonts w:hint="cs"/>
          <w:rtl/>
        </w:rPr>
        <w:t>ח,א</w:t>
      </w:r>
      <w:proofErr w:type="spellEnd"/>
      <w:r>
        <w:rPr>
          <w:rFonts w:hint="cs"/>
          <w:rtl/>
        </w:rPr>
        <w:t xml:space="preserve"> ד"ה כולן נכנסו.</w:t>
      </w:r>
    </w:p>
  </w:footnote>
  <w:footnote w:id="24">
    <w:p w:rsidR="009F4B3F" w:rsidRDefault="009F4B3F">
      <w:pPr>
        <w:pStyle w:val="a4"/>
        <w:rPr>
          <w:rtl/>
        </w:rPr>
      </w:pPr>
      <w:r>
        <w:rPr>
          <w:rStyle w:val="a6"/>
        </w:rPr>
        <w:footnoteRef/>
      </w:r>
      <w:r>
        <w:rPr>
          <w:rtl/>
        </w:rPr>
        <w:t xml:space="preserve"> </w:t>
      </w:r>
      <w:r w:rsidR="0071080F">
        <w:rPr>
          <w:rtl/>
        </w:rPr>
        <w:tab/>
      </w:r>
      <w:r w:rsidRPr="0071080F">
        <w:rPr>
          <w:rFonts w:hint="cs"/>
          <w:b/>
          <w:bCs/>
          <w:rtl/>
        </w:rPr>
        <w:t xml:space="preserve">חידושי ר' נחום </w:t>
      </w:r>
      <w:r>
        <w:rPr>
          <w:rFonts w:hint="cs"/>
          <w:rtl/>
        </w:rPr>
        <w:t xml:space="preserve">בבא קמא </w:t>
      </w:r>
      <w:proofErr w:type="spellStart"/>
      <w:r>
        <w:rPr>
          <w:rFonts w:hint="cs"/>
          <w:rtl/>
        </w:rPr>
        <w:t>ח,א</w:t>
      </w:r>
      <w:proofErr w:type="spellEnd"/>
      <w:r>
        <w:rPr>
          <w:rFonts w:hint="cs"/>
          <w:rtl/>
        </w:rPr>
        <w:t xml:space="preserve"> אות ערה.</w:t>
      </w:r>
    </w:p>
  </w:footnote>
  <w:footnote w:id="25">
    <w:p w:rsidR="009F4B3F" w:rsidRDefault="009F4B3F" w:rsidP="009F4B3F">
      <w:pPr>
        <w:pStyle w:val="a4"/>
      </w:pPr>
      <w:r>
        <w:rPr>
          <w:rStyle w:val="a6"/>
        </w:rPr>
        <w:footnoteRef/>
      </w:r>
      <w:r>
        <w:rPr>
          <w:rtl/>
        </w:rPr>
        <w:t xml:space="preserve"> </w:t>
      </w:r>
      <w:r w:rsidR="0071080F">
        <w:rPr>
          <w:rtl/>
        </w:rPr>
        <w:tab/>
      </w:r>
      <w:r w:rsidRPr="0071080F">
        <w:rPr>
          <w:rFonts w:hint="cs"/>
          <w:b/>
          <w:bCs/>
          <w:rtl/>
        </w:rPr>
        <w:t>ב"ח</w:t>
      </w:r>
      <w:r>
        <w:rPr>
          <w:rFonts w:hint="cs"/>
          <w:rtl/>
        </w:rPr>
        <w:t xml:space="preserve"> </w:t>
      </w:r>
      <w:proofErr w:type="spellStart"/>
      <w:r>
        <w:rPr>
          <w:rFonts w:hint="cs"/>
          <w:rtl/>
        </w:rPr>
        <w:t>חו"מ</w:t>
      </w:r>
      <w:proofErr w:type="spellEnd"/>
      <w:r>
        <w:rPr>
          <w:rFonts w:hint="cs"/>
          <w:rtl/>
        </w:rPr>
        <w:t xml:space="preserve"> צו, אות </w:t>
      </w:r>
      <w:proofErr w:type="spellStart"/>
      <w:r>
        <w:rPr>
          <w:rFonts w:hint="cs"/>
          <w:rtl/>
        </w:rPr>
        <w:t>כג</w:t>
      </w:r>
      <w:proofErr w:type="spellEnd"/>
      <w:r>
        <w:rPr>
          <w:rFonts w:hint="cs"/>
          <w:rtl/>
        </w:rPr>
        <w:t>.</w:t>
      </w:r>
    </w:p>
  </w:footnote>
  <w:footnote w:id="26">
    <w:p w:rsidR="009F4B3F" w:rsidRDefault="009F4B3F" w:rsidP="009F4B3F">
      <w:pPr>
        <w:pStyle w:val="a4"/>
        <w:rPr>
          <w:rtl/>
        </w:rPr>
      </w:pPr>
      <w:r>
        <w:rPr>
          <w:rStyle w:val="a6"/>
        </w:rPr>
        <w:footnoteRef/>
      </w:r>
      <w:r>
        <w:rPr>
          <w:rtl/>
        </w:rPr>
        <w:t xml:space="preserve"> </w:t>
      </w:r>
      <w:r w:rsidR="0071080F">
        <w:rPr>
          <w:rtl/>
        </w:rPr>
        <w:tab/>
      </w:r>
      <w:r w:rsidRPr="0071080F">
        <w:rPr>
          <w:rFonts w:hint="cs"/>
          <w:b/>
          <w:bCs/>
          <w:rtl/>
        </w:rPr>
        <w:t xml:space="preserve">שו"ת צמח צדק </w:t>
      </w:r>
      <w:proofErr w:type="spellStart"/>
      <w:r>
        <w:rPr>
          <w:rFonts w:hint="cs"/>
          <w:rtl/>
        </w:rPr>
        <w:t>קיז</w:t>
      </w:r>
      <w:proofErr w:type="spellEnd"/>
      <w:r>
        <w:rPr>
          <w:rFonts w:hint="cs"/>
          <w:rtl/>
        </w:rPr>
        <w:t>.</w:t>
      </w:r>
    </w:p>
  </w:footnote>
  <w:footnote w:id="27">
    <w:p w:rsidR="009F4B3F" w:rsidRDefault="009F4B3F" w:rsidP="009F4B3F">
      <w:pPr>
        <w:pStyle w:val="a4"/>
      </w:pPr>
      <w:r>
        <w:rPr>
          <w:rStyle w:val="a6"/>
        </w:rPr>
        <w:footnoteRef/>
      </w:r>
      <w:r>
        <w:rPr>
          <w:rtl/>
        </w:rPr>
        <w:t xml:space="preserve"> </w:t>
      </w:r>
      <w:r w:rsidR="0071080F">
        <w:rPr>
          <w:rtl/>
        </w:rPr>
        <w:tab/>
      </w:r>
      <w:r w:rsidRPr="0071080F">
        <w:rPr>
          <w:rFonts w:hint="cs"/>
          <w:b/>
          <w:bCs/>
          <w:rtl/>
        </w:rPr>
        <w:t>שו"ת חתם סופר</w:t>
      </w:r>
      <w:r>
        <w:rPr>
          <w:rFonts w:hint="cs"/>
          <w:rtl/>
        </w:rPr>
        <w:t xml:space="preserve"> </w:t>
      </w:r>
      <w:proofErr w:type="spellStart"/>
      <w:r>
        <w:rPr>
          <w:rFonts w:hint="cs"/>
          <w:rtl/>
        </w:rPr>
        <w:t>חו"מ</w:t>
      </w:r>
      <w:proofErr w:type="spellEnd"/>
      <w:r>
        <w:rPr>
          <w:rFonts w:hint="cs"/>
          <w:rtl/>
        </w:rPr>
        <w:t xml:space="preserve"> </w:t>
      </w:r>
      <w:proofErr w:type="spellStart"/>
      <w:r>
        <w:rPr>
          <w:rFonts w:hint="cs"/>
          <w:rtl/>
        </w:rPr>
        <w:t>נה</w:t>
      </w:r>
      <w:proofErr w:type="spellEnd"/>
      <w:r>
        <w:rPr>
          <w:rFonts w:hint="cs"/>
          <w:rtl/>
        </w:rPr>
        <w:t>.</w:t>
      </w:r>
    </w:p>
  </w:footnote>
  <w:footnote w:id="28">
    <w:p w:rsidR="00130055" w:rsidRDefault="00130055" w:rsidP="002E4AFB">
      <w:pPr>
        <w:pStyle w:val="a4"/>
        <w:rPr>
          <w:rtl/>
        </w:rPr>
      </w:pPr>
      <w:r>
        <w:rPr>
          <w:rStyle w:val="a6"/>
        </w:rPr>
        <w:footnoteRef/>
      </w:r>
      <w:r>
        <w:rPr>
          <w:rtl/>
        </w:rPr>
        <w:t xml:space="preserve"> </w:t>
      </w:r>
      <w:r w:rsidR="0071080F">
        <w:rPr>
          <w:rtl/>
        </w:rPr>
        <w:tab/>
      </w:r>
      <w:r w:rsidRPr="0071080F">
        <w:rPr>
          <w:rFonts w:hint="cs"/>
          <w:b/>
          <w:bCs/>
          <w:rtl/>
        </w:rPr>
        <w:t>שו"ת אגרות משה</w:t>
      </w:r>
      <w:r>
        <w:rPr>
          <w:rFonts w:hint="cs"/>
          <w:rtl/>
        </w:rPr>
        <w:t xml:space="preserve"> שם.</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4D4B6F"/>
    <w:multiLevelType w:val="hybridMultilevel"/>
    <w:tmpl w:val="44BAEC3A"/>
    <w:lvl w:ilvl="0" w:tplc="5290F662">
      <w:start w:val="1"/>
      <w:numFmt w:val="hebrew1"/>
      <w:pStyle w:val="2"/>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FC748A"/>
    <w:multiLevelType w:val="hybridMultilevel"/>
    <w:tmpl w:val="5A026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235FE7"/>
    <w:multiLevelType w:val="hybridMultilevel"/>
    <w:tmpl w:val="03E0F1D8"/>
    <w:lvl w:ilvl="0" w:tplc="6D0245E6">
      <w:start w:val="1"/>
      <w:numFmt w:val="decimal"/>
      <w:pStyle w:val="3"/>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2"/>
  </w:num>
  <w:num w:numId="5">
    <w:abstractNumId w:val="2"/>
  </w:num>
  <w:num w:numId="6">
    <w:abstractNumId w:val="2"/>
  </w:num>
  <w:num w:numId="7">
    <w:abstractNumId w:val="2"/>
  </w:num>
  <w:num w:numId="8">
    <w:abstractNumId w:val="2"/>
    <w:lvlOverride w:ilvl="0">
      <w:startOverride w:val="1"/>
    </w:lvlOverride>
  </w:num>
  <w:num w:numId="9">
    <w:abstractNumId w:val="2"/>
  </w:num>
  <w:num w:numId="10">
    <w:abstractNumId w:val="2"/>
  </w:num>
  <w:num w:numId="11">
    <w:abstractNumId w:val="2"/>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0D2"/>
    <w:rsid w:val="00064C72"/>
    <w:rsid w:val="00081C1D"/>
    <w:rsid w:val="00084329"/>
    <w:rsid w:val="00093574"/>
    <w:rsid w:val="00093A87"/>
    <w:rsid w:val="000D6B12"/>
    <w:rsid w:val="0012529B"/>
    <w:rsid w:val="00130055"/>
    <w:rsid w:val="00152CFA"/>
    <w:rsid w:val="00167B2D"/>
    <w:rsid w:val="00190113"/>
    <w:rsid w:val="001B7771"/>
    <w:rsid w:val="00213695"/>
    <w:rsid w:val="00243D2E"/>
    <w:rsid w:val="002E4AFB"/>
    <w:rsid w:val="002E6A94"/>
    <w:rsid w:val="002F62F6"/>
    <w:rsid w:val="0036279B"/>
    <w:rsid w:val="003C2E1C"/>
    <w:rsid w:val="00466D4F"/>
    <w:rsid w:val="004A2153"/>
    <w:rsid w:val="00545060"/>
    <w:rsid w:val="0058412C"/>
    <w:rsid w:val="005F120D"/>
    <w:rsid w:val="006235D3"/>
    <w:rsid w:val="00625F64"/>
    <w:rsid w:val="0063259E"/>
    <w:rsid w:val="006B2425"/>
    <w:rsid w:val="006C6B8E"/>
    <w:rsid w:val="006D43FC"/>
    <w:rsid w:val="006E748D"/>
    <w:rsid w:val="0071080F"/>
    <w:rsid w:val="00717C37"/>
    <w:rsid w:val="00717EBF"/>
    <w:rsid w:val="00751D0B"/>
    <w:rsid w:val="007E30E7"/>
    <w:rsid w:val="007F676E"/>
    <w:rsid w:val="00800304"/>
    <w:rsid w:val="009349A2"/>
    <w:rsid w:val="00984235"/>
    <w:rsid w:val="009D266B"/>
    <w:rsid w:val="009E22AF"/>
    <w:rsid w:val="009F0653"/>
    <w:rsid w:val="009F4B3F"/>
    <w:rsid w:val="00AC60D2"/>
    <w:rsid w:val="00AE48F1"/>
    <w:rsid w:val="00BB3EDF"/>
    <w:rsid w:val="00C13BD4"/>
    <w:rsid w:val="00C27AAB"/>
    <w:rsid w:val="00C656CC"/>
    <w:rsid w:val="00C8102B"/>
    <w:rsid w:val="00C8450B"/>
    <w:rsid w:val="00C96912"/>
    <w:rsid w:val="00CB6B26"/>
    <w:rsid w:val="00CD22F2"/>
    <w:rsid w:val="00E27BBF"/>
    <w:rsid w:val="00E60970"/>
    <w:rsid w:val="00EC0C15"/>
    <w:rsid w:val="00F059AA"/>
    <w:rsid w:val="00F7774F"/>
    <w:rsid w:val="00FC4F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695"/>
    <w:pPr>
      <w:bidi/>
      <w:spacing w:before="120" w:after="120" w:line="360" w:lineRule="auto"/>
      <w:jc w:val="both"/>
    </w:pPr>
    <w:rPr>
      <w:rFonts w:cs="David"/>
      <w:szCs w:val="24"/>
    </w:rPr>
  </w:style>
  <w:style w:type="paragraph" w:styleId="1">
    <w:name w:val="heading 1"/>
    <w:basedOn w:val="a"/>
    <w:link w:val="10"/>
    <w:uiPriority w:val="9"/>
    <w:qFormat/>
    <w:rsid w:val="00213695"/>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C27AAB"/>
    <w:pPr>
      <w:keepNext/>
      <w:keepLines/>
      <w:numPr>
        <w:numId w:val="1"/>
      </w:numPr>
      <w:spacing w:before="40" w:after="0"/>
      <w:ind w:left="714" w:hanging="357"/>
      <w:jc w:val="center"/>
      <w:outlineLvl w:val="1"/>
    </w:pPr>
    <w:rPr>
      <w:rFonts w:asciiTheme="majorHAnsi" w:eastAsiaTheme="majorEastAsia" w:hAnsiTheme="majorHAnsi"/>
      <w:bCs/>
      <w:sz w:val="26"/>
      <w:szCs w:val="28"/>
    </w:rPr>
  </w:style>
  <w:style w:type="paragraph" w:styleId="3">
    <w:name w:val="heading 3"/>
    <w:basedOn w:val="a"/>
    <w:next w:val="a"/>
    <w:link w:val="30"/>
    <w:uiPriority w:val="9"/>
    <w:unhideWhenUsed/>
    <w:qFormat/>
    <w:rsid w:val="007F676E"/>
    <w:pPr>
      <w:keepNext/>
      <w:keepLines/>
      <w:numPr>
        <w:numId w:val="4"/>
      </w:numPr>
      <w:jc w:val="left"/>
      <w:outlineLvl w:val="2"/>
    </w:pPr>
    <w:rPr>
      <w:rFonts w:asciiTheme="majorHAnsi" w:eastAsiaTheme="majorEastAsia" w:hAnsiTheme="majorHAnsi"/>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6235D3"/>
    <w:rPr>
      <w:color w:val="0563C1" w:themeColor="hyperlink"/>
      <w:u w:val="single"/>
    </w:rPr>
  </w:style>
  <w:style w:type="character" w:styleId="a3">
    <w:name w:val="Strong"/>
    <w:basedOn w:val="a0"/>
    <w:uiPriority w:val="22"/>
    <w:qFormat/>
    <w:rsid w:val="00213695"/>
    <w:rPr>
      <w:b/>
      <w:bCs/>
    </w:rPr>
  </w:style>
  <w:style w:type="character" w:customStyle="1" w:styleId="apple-converted-space">
    <w:name w:val="apple-converted-space"/>
    <w:basedOn w:val="a0"/>
    <w:rsid w:val="00213695"/>
  </w:style>
  <w:style w:type="character" w:customStyle="1" w:styleId="10">
    <w:name w:val="כותרת 1 תו"/>
    <w:basedOn w:val="a0"/>
    <w:link w:val="1"/>
    <w:uiPriority w:val="9"/>
    <w:rsid w:val="00213695"/>
    <w:rPr>
      <w:rFonts w:ascii="Times New Roman" w:eastAsia="Times New Roman" w:hAnsi="Times New Roman" w:cs="Times New Roman"/>
      <w:b/>
      <w:bCs/>
      <w:kern w:val="36"/>
      <w:sz w:val="48"/>
      <w:szCs w:val="48"/>
    </w:rPr>
  </w:style>
  <w:style w:type="character" w:customStyle="1" w:styleId="20">
    <w:name w:val="כותרת 2 תו"/>
    <w:basedOn w:val="a0"/>
    <w:link w:val="2"/>
    <w:uiPriority w:val="9"/>
    <w:rsid w:val="00C27AAB"/>
    <w:rPr>
      <w:rFonts w:asciiTheme="majorHAnsi" w:eastAsiaTheme="majorEastAsia" w:hAnsiTheme="majorHAnsi" w:cs="David"/>
      <w:bCs/>
      <w:sz w:val="26"/>
      <w:szCs w:val="28"/>
    </w:rPr>
  </w:style>
  <w:style w:type="paragraph" w:styleId="a4">
    <w:name w:val="footnote text"/>
    <w:basedOn w:val="a"/>
    <w:link w:val="a5"/>
    <w:uiPriority w:val="99"/>
    <w:unhideWhenUsed/>
    <w:rsid w:val="002E4AFB"/>
    <w:pPr>
      <w:spacing w:before="0" w:after="0" w:line="240" w:lineRule="auto"/>
      <w:ind w:left="284" w:hanging="284"/>
    </w:pPr>
    <w:rPr>
      <w:sz w:val="20"/>
      <w:szCs w:val="20"/>
    </w:rPr>
  </w:style>
  <w:style w:type="character" w:customStyle="1" w:styleId="a5">
    <w:name w:val="טקסט הערת שוליים תו"/>
    <w:basedOn w:val="a0"/>
    <w:link w:val="a4"/>
    <w:uiPriority w:val="99"/>
    <w:rsid w:val="002E4AFB"/>
    <w:rPr>
      <w:rFonts w:cs="David"/>
      <w:sz w:val="20"/>
      <w:szCs w:val="20"/>
    </w:rPr>
  </w:style>
  <w:style w:type="character" w:styleId="a6">
    <w:name w:val="footnote reference"/>
    <w:basedOn w:val="a0"/>
    <w:uiPriority w:val="99"/>
    <w:semiHidden/>
    <w:unhideWhenUsed/>
    <w:rsid w:val="00C13BD4"/>
    <w:rPr>
      <w:vertAlign w:val="superscript"/>
    </w:rPr>
  </w:style>
  <w:style w:type="character" w:customStyle="1" w:styleId="30">
    <w:name w:val="כותרת 3 תו"/>
    <w:basedOn w:val="a0"/>
    <w:link w:val="3"/>
    <w:uiPriority w:val="9"/>
    <w:rsid w:val="007F676E"/>
    <w:rPr>
      <w:rFonts w:asciiTheme="majorHAnsi" w:eastAsiaTheme="majorEastAsia" w:hAnsiTheme="majorHAnsi" w:cs="David"/>
      <w:bCs/>
      <w:sz w:val="24"/>
      <w:szCs w:val="24"/>
    </w:rPr>
  </w:style>
  <w:style w:type="paragraph" w:styleId="a7">
    <w:name w:val="List Paragraph"/>
    <w:basedOn w:val="a"/>
    <w:uiPriority w:val="34"/>
    <w:qFormat/>
    <w:rsid w:val="003C2E1C"/>
    <w:pPr>
      <w:ind w:left="720"/>
      <w:contextualSpacing/>
    </w:pPr>
  </w:style>
  <w:style w:type="paragraph" w:styleId="a8">
    <w:name w:val="header"/>
    <w:basedOn w:val="a"/>
    <w:link w:val="a9"/>
    <w:uiPriority w:val="99"/>
    <w:unhideWhenUsed/>
    <w:rsid w:val="007E30E7"/>
    <w:pPr>
      <w:tabs>
        <w:tab w:val="center" w:pos="4153"/>
        <w:tab w:val="right" w:pos="8306"/>
      </w:tabs>
      <w:spacing w:before="0" w:after="0" w:line="240" w:lineRule="auto"/>
    </w:pPr>
  </w:style>
  <w:style w:type="character" w:customStyle="1" w:styleId="a9">
    <w:name w:val="כותרת עליונה תו"/>
    <w:basedOn w:val="a0"/>
    <w:link w:val="a8"/>
    <w:uiPriority w:val="99"/>
    <w:rsid w:val="007E30E7"/>
    <w:rPr>
      <w:rFonts w:cs="David"/>
      <w:szCs w:val="24"/>
    </w:rPr>
  </w:style>
  <w:style w:type="paragraph" w:styleId="aa">
    <w:name w:val="footer"/>
    <w:basedOn w:val="a"/>
    <w:link w:val="ab"/>
    <w:uiPriority w:val="99"/>
    <w:unhideWhenUsed/>
    <w:rsid w:val="007E30E7"/>
    <w:pPr>
      <w:tabs>
        <w:tab w:val="center" w:pos="4153"/>
        <w:tab w:val="right" w:pos="8306"/>
      </w:tabs>
      <w:spacing w:before="0" w:after="0" w:line="240" w:lineRule="auto"/>
    </w:pPr>
  </w:style>
  <w:style w:type="character" w:customStyle="1" w:styleId="ab">
    <w:name w:val="כותרת תחתונה תו"/>
    <w:basedOn w:val="a0"/>
    <w:link w:val="aa"/>
    <w:uiPriority w:val="99"/>
    <w:rsid w:val="007E30E7"/>
    <w:rPr>
      <w:rFonts w:cs="David"/>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695"/>
    <w:pPr>
      <w:bidi/>
      <w:spacing w:before="120" w:after="120" w:line="360" w:lineRule="auto"/>
      <w:jc w:val="both"/>
    </w:pPr>
    <w:rPr>
      <w:rFonts w:cs="David"/>
      <w:szCs w:val="24"/>
    </w:rPr>
  </w:style>
  <w:style w:type="paragraph" w:styleId="1">
    <w:name w:val="heading 1"/>
    <w:basedOn w:val="a"/>
    <w:link w:val="10"/>
    <w:uiPriority w:val="9"/>
    <w:qFormat/>
    <w:rsid w:val="00213695"/>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C27AAB"/>
    <w:pPr>
      <w:keepNext/>
      <w:keepLines/>
      <w:numPr>
        <w:numId w:val="1"/>
      </w:numPr>
      <w:spacing w:before="40" w:after="0"/>
      <w:ind w:left="714" w:hanging="357"/>
      <w:jc w:val="center"/>
      <w:outlineLvl w:val="1"/>
    </w:pPr>
    <w:rPr>
      <w:rFonts w:asciiTheme="majorHAnsi" w:eastAsiaTheme="majorEastAsia" w:hAnsiTheme="majorHAnsi"/>
      <w:bCs/>
      <w:sz w:val="26"/>
      <w:szCs w:val="28"/>
    </w:rPr>
  </w:style>
  <w:style w:type="paragraph" w:styleId="3">
    <w:name w:val="heading 3"/>
    <w:basedOn w:val="a"/>
    <w:next w:val="a"/>
    <w:link w:val="30"/>
    <w:uiPriority w:val="9"/>
    <w:unhideWhenUsed/>
    <w:qFormat/>
    <w:rsid w:val="007F676E"/>
    <w:pPr>
      <w:keepNext/>
      <w:keepLines/>
      <w:numPr>
        <w:numId w:val="4"/>
      </w:numPr>
      <w:jc w:val="left"/>
      <w:outlineLvl w:val="2"/>
    </w:pPr>
    <w:rPr>
      <w:rFonts w:asciiTheme="majorHAnsi" w:eastAsiaTheme="majorEastAsia" w:hAnsiTheme="majorHAnsi"/>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6235D3"/>
    <w:rPr>
      <w:color w:val="0563C1" w:themeColor="hyperlink"/>
      <w:u w:val="single"/>
    </w:rPr>
  </w:style>
  <w:style w:type="character" w:styleId="a3">
    <w:name w:val="Strong"/>
    <w:basedOn w:val="a0"/>
    <w:uiPriority w:val="22"/>
    <w:qFormat/>
    <w:rsid w:val="00213695"/>
    <w:rPr>
      <w:b/>
      <w:bCs/>
    </w:rPr>
  </w:style>
  <w:style w:type="character" w:customStyle="1" w:styleId="apple-converted-space">
    <w:name w:val="apple-converted-space"/>
    <w:basedOn w:val="a0"/>
    <w:rsid w:val="00213695"/>
  </w:style>
  <w:style w:type="character" w:customStyle="1" w:styleId="10">
    <w:name w:val="כותרת 1 תו"/>
    <w:basedOn w:val="a0"/>
    <w:link w:val="1"/>
    <w:uiPriority w:val="9"/>
    <w:rsid w:val="00213695"/>
    <w:rPr>
      <w:rFonts w:ascii="Times New Roman" w:eastAsia="Times New Roman" w:hAnsi="Times New Roman" w:cs="Times New Roman"/>
      <w:b/>
      <w:bCs/>
      <w:kern w:val="36"/>
      <w:sz w:val="48"/>
      <w:szCs w:val="48"/>
    </w:rPr>
  </w:style>
  <w:style w:type="character" w:customStyle="1" w:styleId="20">
    <w:name w:val="כותרת 2 תו"/>
    <w:basedOn w:val="a0"/>
    <w:link w:val="2"/>
    <w:uiPriority w:val="9"/>
    <w:rsid w:val="00C27AAB"/>
    <w:rPr>
      <w:rFonts w:asciiTheme="majorHAnsi" w:eastAsiaTheme="majorEastAsia" w:hAnsiTheme="majorHAnsi" w:cs="David"/>
      <w:bCs/>
      <w:sz w:val="26"/>
      <w:szCs w:val="28"/>
    </w:rPr>
  </w:style>
  <w:style w:type="paragraph" w:styleId="a4">
    <w:name w:val="footnote text"/>
    <w:basedOn w:val="a"/>
    <w:link w:val="a5"/>
    <w:uiPriority w:val="99"/>
    <w:unhideWhenUsed/>
    <w:rsid w:val="002E4AFB"/>
    <w:pPr>
      <w:spacing w:before="0" w:after="0" w:line="240" w:lineRule="auto"/>
      <w:ind w:left="284" w:hanging="284"/>
    </w:pPr>
    <w:rPr>
      <w:sz w:val="20"/>
      <w:szCs w:val="20"/>
    </w:rPr>
  </w:style>
  <w:style w:type="character" w:customStyle="1" w:styleId="a5">
    <w:name w:val="טקסט הערת שוליים תו"/>
    <w:basedOn w:val="a0"/>
    <w:link w:val="a4"/>
    <w:uiPriority w:val="99"/>
    <w:rsid w:val="002E4AFB"/>
    <w:rPr>
      <w:rFonts w:cs="David"/>
      <w:sz w:val="20"/>
      <w:szCs w:val="20"/>
    </w:rPr>
  </w:style>
  <w:style w:type="character" w:styleId="a6">
    <w:name w:val="footnote reference"/>
    <w:basedOn w:val="a0"/>
    <w:uiPriority w:val="99"/>
    <w:semiHidden/>
    <w:unhideWhenUsed/>
    <w:rsid w:val="00C13BD4"/>
    <w:rPr>
      <w:vertAlign w:val="superscript"/>
    </w:rPr>
  </w:style>
  <w:style w:type="character" w:customStyle="1" w:styleId="30">
    <w:name w:val="כותרת 3 תו"/>
    <w:basedOn w:val="a0"/>
    <w:link w:val="3"/>
    <w:uiPriority w:val="9"/>
    <w:rsid w:val="007F676E"/>
    <w:rPr>
      <w:rFonts w:asciiTheme="majorHAnsi" w:eastAsiaTheme="majorEastAsia" w:hAnsiTheme="majorHAnsi" w:cs="David"/>
      <w:bCs/>
      <w:sz w:val="24"/>
      <w:szCs w:val="24"/>
    </w:rPr>
  </w:style>
  <w:style w:type="paragraph" w:styleId="a7">
    <w:name w:val="List Paragraph"/>
    <w:basedOn w:val="a"/>
    <w:uiPriority w:val="34"/>
    <w:qFormat/>
    <w:rsid w:val="003C2E1C"/>
    <w:pPr>
      <w:ind w:left="720"/>
      <w:contextualSpacing/>
    </w:pPr>
  </w:style>
  <w:style w:type="paragraph" w:styleId="a8">
    <w:name w:val="header"/>
    <w:basedOn w:val="a"/>
    <w:link w:val="a9"/>
    <w:uiPriority w:val="99"/>
    <w:unhideWhenUsed/>
    <w:rsid w:val="007E30E7"/>
    <w:pPr>
      <w:tabs>
        <w:tab w:val="center" w:pos="4153"/>
        <w:tab w:val="right" w:pos="8306"/>
      </w:tabs>
      <w:spacing w:before="0" w:after="0" w:line="240" w:lineRule="auto"/>
    </w:pPr>
  </w:style>
  <w:style w:type="character" w:customStyle="1" w:styleId="a9">
    <w:name w:val="כותרת עליונה תו"/>
    <w:basedOn w:val="a0"/>
    <w:link w:val="a8"/>
    <w:uiPriority w:val="99"/>
    <w:rsid w:val="007E30E7"/>
    <w:rPr>
      <w:rFonts w:cs="David"/>
      <w:szCs w:val="24"/>
    </w:rPr>
  </w:style>
  <w:style w:type="paragraph" w:styleId="aa">
    <w:name w:val="footer"/>
    <w:basedOn w:val="a"/>
    <w:link w:val="ab"/>
    <w:uiPriority w:val="99"/>
    <w:unhideWhenUsed/>
    <w:rsid w:val="007E30E7"/>
    <w:pPr>
      <w:tabs>
        <w:tab w:val="center" w:pos="4153"/>
        <w:tab w:val="right" w:pos="8306"/>
      </w:tabs>
      <w:spacing w:before="0" w:after="0" w:line="240" w:lineRule="auto"/>
    </w:pPr>
  </w:style>
  <w:style w:type="character" w:customStyle="1" w:styleId="ab">
    <w:name w:val="כותרת תחתונה תו"/>
    <w:basedOn w:val="a0"/>
    <w:link w:val="aa"/>
    <w:uiPriority w:val="99"/>
    <w:rsid w:val="007E30E7"/>
    <w:rPr>
      <w:rFonts w:cs="Dav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134114">
      <w:bodyDiv w:val="1"/>
      <w:marLeft w:val="0"/>
      <w:marRight w:val="0"/>
      <w:marTop w:val="0"/>
      <w:marBottom w:val="0"/>
      <w:divBdr>
        <w:top w:val="none" w:sz="0" w:space="0" w:color="auto"/>
        <w:left w:val="none" w:sz="0" w:space="0" w:color="auto"/>
        <w:bottom w:val="none" w:sz="0" w:space="0" w:color="auto"/>
        <w:right w:val="none" w:sz="0" w:space="0" w:color="auto"/>
      </w:divBdr>
    </w:div>
    <w:div w:id="91798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1452</Words>
  <Characters>7264</Characters>
  <Application>Microsoft Office Word</Application>
  <DocSecurity>0</DocSecurity>
  <Lines>60</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ירון וחפצי אונגר</dc:creator>
  <cp:lastModifiedBy>emalea</cp:lastModifiedBy>
  <cp:revision>6</cp:revision>
  <dcterms:created xsi:type="dcterms:W3CDTF">2014-07-30T12:42:00Z</dcterms:created>
  <dcterms:modified xsi:type="dcterms:W3CDTF">2014-07-30T12:50:00Z</dcterms:modified>
</cp:coreProperties>
</file>