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F4CC" w14:textId="14171A3D" w:rsidR="005927B3" w:rsidRPr="00A844C8" w:rsidRDefault="00F56991" w:rsidP="00672FC4">
      <w:pPr>
        <w:rPr>
          <w:sz w:val="24"/>
          <w:szCs w:val="24"/>
        </w:rPr>
      </w:pPr>
      <w:r w:rsidRPr="00A844C8">
        <w:rPr>
          <w:b/>
          <w:bCs/>
          <w:spacing w:val="-5"/>
          <w:sz w:val="24"/>
          <w:szCs w:val="24"/>
          <w:rtl/>
        </w:rPr>
        <w:t>שם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הקורס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3"/>
          <w:sz w:val="24"/>
          <w:szCs w:val="24"/>
          <w:rtl/>
        </w:rPr>
        <w:t xml:space="preserve"> </w:t>
      </w:r>
      <w:r w:rsidR="00652BED" w:rsidRPr="00652BED">
        <w:rPr>
          <w:rFonts w:eastAsia="Times New Roman"/>
          <w:b/>
          <w:bCs/>
          <w:sz w:val="24"/>
          <w:szCs w:val="24"/>
          <w:rtl/>
        </w:rPr>
        <w:t xml:space="preserve">סוגיות נבחרות בתקשורת בין אישית  </w:t>
      </w:r>
    </w:p>
    <w:p w14:paraId="78BDF62C" w14:textId="40EC8387" w:rsidR="00672FC4" w:rsidRPr="00A844C8" w:rsidRDefault="00F56991" w:rsidP="00672FC4">
      <w:pPr>
        <w:tabs>
          <w:tab w:val="left" w:pos="1299"/>
        </w:tabs>
        <w:rPr>
          <w:b/>
          <w:bCs/>
          <w:sz w:val="24"/>
          <w:szCs w:val="24"/>
          <w:rtl/>
        </w:rPr>
      </w:pPr>
      <w:r w:rsidRPr="00A844C8">
        <w:rPr>
          <w:b/>
          <w:bCs/>
          <w:sz w:val="24"/>
          <w:szCs w:val="24"/>
          <w:rtl/>
        </w:rPr>
        <w:t>קוד</w:t>
      </w:r>
      <w:r w:rsidR="00C66CF8" w:rsidRPr="00A844C8">
        <w:rPr>
          <w:b/>
          <w:bCs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הקורס</w:t>
      </w:r>
      <w:r w:rsidRPr="00A844C8">
        <w:rPr>
          <w:b/>
          <w:bCs/>
          <w:sz w:val="24"/>
          <w:szCs w:val="24"/>
        </w:rPr>
        <w:t>:</w:t>
      </w:r>
      <w:r w:rsidR="00384245" w:rsidRPr="00A844C8">
        <w:rPr>
          <w:rFonts w:eastAsia="Times New Roman"/>
          <w:b/>
          <w:bCs/>
          <w:sz w:val="24"/>
          <w:szCs w:val="24"/>
          <w:rtl/>
        </w:rPr>
        <w:t xml:space="preserve"> </w:t>
      </w:r>
      <w:r w:rsidR="00652BED" w:rsidRPr="00652BED">
        <w:rPr>
          <w:rFonts w:eastAsia="Times New Roman" w:hint="cs"/>
          <w:b/>
          <w:bCs/>
          <w:sz w:val="24"/>
          <w:szCs w:val="24"/>
          <w:rtl/>
        </w:rPr>
        <w:t>42-312-0</w:t>
      </w:r>
      <w:r w:rsidRPr="00A844C8">
        <w:rPr>
          <w:b/>
          <w:bCs/>
          <w:spacing w:val="80"/>
          <w:w w:val="150"/>
          <w:sz w:val="24"/>
          <w:szCs w:val="24"/>
          <w:rtl/>
        </w:rPr>
        <w:t xml:space="preserve"> </w:t>
      </w:r>
    </w:p>
    <w:p w14:paraId="406361DC" w14:textId="2EDC5F18" w:rsidR="00672FC4" w:rsidRPr="00A844C8" w:rsidRDefault="00F56991" w:rsidP="00672FC4">
      <w:pPr>
        <w:tabs>
          <w:tab w:val="left" w:pos="1299"/>
        </w:tabs>
        <w:rPr>
          <w:b/>
          <w:bCs/>
          <w:sz w:val="24"/>
          <w:szCs w:val="24"/>
        </w:rPr>
      </w:pPr>
      <w:r w:rsidRPr="00A844C8">
        <w:rPr>
          <w:b/>
          <w:bCs/>
          <w:sz w:val="24"/>
          <w:szCs w:val="24"/>
          <w:rtl/>
        </w:rPr>
        <w:t>מספר</w:t>
      </w:r>
      <w:r w:rsidRPr="00A844C8">
        <w:rPr>
          <w:b/>
          <w:bCs/>
          <w:spacing w:val="-9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נקודות</w:t>
      </w:r>
      <w:r w:rsidRPr="00A844C8">
        <w:rPr>
          <w:b/>
          <w:bCs/>
          <w:spacing w:val="-9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זכות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9"/>
          <w:sz w:val="24"/>
          <w:szCs w:val="24"/>
          <w:rtl/>
        </w:rPr>
        <w:t xml:space="preserve"> </w:t>
      </w:r>
      <w:r w:rsidR="00EC5089" w:rsidRPr="00A844C8">
        <w:rPr>
          <w:sz w:val="24"/>
          <w:szCs w:val="24"/>
          <w:rtl/>
        </w:rPr>
        <w:t>2</w:t>
      </w:r>
    </w:p>
    <w:p w14:paraId="541E0981" w14:textId="31875D57" w:rsidR="005927B3" w:rsidRPr="00A844C8" w:rsidRDefault="00F56991" w:rsidP="00672FC4">
      <w:pPr>
        <w:tabs>
          <w:tab w:val="left" w:pos="1299"/>
        </w:tabs>
        <w:rPr>
          <w:sz w:val="24"/>
          <w:szCs w:val="24"/>
          <w:rtl/>
        </w:rPr>
      </w:pPr>
      <w:r w:rsidRPr="00A844C8">
        <w:rPr>
          <w:b/>
          <w:bCs/>
          <w:spacing w:val="-4"/>
          <w:sz w:val="24"/>
          <w:szCs w:val="24"/>
          <w:rtl/>
        </w:rPr>
        <w:t>תואר</w:t>
      </w:r>
      <w:r w:rsidRPr="00A844C8">
        <w:rPr>
          <w:spacing w:val="-4"/>
          <w:sz w:val="24"/>
          <w:szCs w:val="24"/>
        </w:rPr>
        <w:t>:</w:t>
      </w:r>
      <w:r w:rsidRPr="00A844C8">
        <w:rPr>
          <w:spacing w:val="-1"/>
          <w:sz w:val="24"/>
          <w:szCs w:val="24"/>
          <w:rtl/>
        </w:rPr>
        <w:t xml:space="preserve"> </w:t>
      </w:r>
      <w:r w:rsidR="00652BED">
        <w:rPr>
          <w:rFonts w:hint="cs"/>
          <w:sz w:val="24"/>
          <w:szCs w:val="24"/>
          <w:rtl/>
        </w:rPr>
        <w:t>שני</w:t>
      </w:r>
      <w:r w:rsidRPr="00A844C8">
        <w:rPr>
          <w:spacing w:val="-4"/>
          <w:sz w:val="24"/>
          <w:szCs w:val="24"/>
          <w:rtl/>
        </w:rPr>
        <w:t xml:space="preserve"> </w:t>
      </w:r>
      <w:r w:rsidR="00EC5089" w:rsidRPr="00A844C8">
        <w:rPr>
          <w:sz w:val="24"/>
          <w:szCs w:val="24"/>
          <w:rtl/>
        </w:rPr>
        <w:t>(</w:t>
      </w:r>
      <w:r w:rsidR="00652BED">
        <w:rPr>
          <w:rFonts w:hint="cs"/>
          <w:sz w:val="24"/>
          <w:szCs w:val="24"/>
        </w:rPr>
        <w:t>M</w:t>
      </w:r>
      <w:r w:rsidR="00EC5089" w:rsidRPr="00A844C8">
        <w:rPr>
          <w:sz w:val="24"/>
          <w:szCs w:val="24"/>
        </w:rPr>
        <w:t>.A.</w:t>
      </w:r>
      <w:r w:rsidR="00EC5089" w:rsidRPr="00A844C8">
        <w:rPr>
          <w:sz w:val="24"/>
          <w:szCs w:val="24"/>
          <w:rtl/>
        </w:rPr>
        <w:t>)</w:t>
      </w:r>
    </w:p>
    <w:p w14:paraId="1F5F7A13" w14:textId="3A3AAE84" w:rsidR="005927B3" w:rsidRPr="00A844C8" w:rsidRDefault="00F56991" w:rsidP="00672FC4">
      <w:pPr>
        <w:rPr>
          <w:sz w:val="24"/>
          <w:szCs w:val="24"/>
          <w:rtl/>
        </w:rPr>
      </w:pPr>
      <w:r w:rsidRPr="00A844C8">
        <w:rPr>
          <w:b/>
          <w:bCs/>
          <w:spacing w:val="-2"/>
          <w:sz w:val="24"/>
          <w:szCs w:val="24"/>
          <w:rtl/>
        </w:rPr>
        <w:t>היחידה</w:t>
      </w:r>
      <w:r w:rsidRPr="00A844C8">
        <w:rPr>
          <w:b/>
          <w:bCs/>
          <w:spacing w:val="-4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האקדמית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5"/>
          <w:sz w:val="24"/>
          <w:szCs w:val="24"/>
          <w:rtl/>
        </w:rPr>
        <w:t xml:space="preserve"> </w:t>
      </w:r>
      <w:r w:rsidR="000C3483" w:rsidRPr="00A844C8">
        <w:rPr>
          <w:sz w:val="24"/>
          <w:szCs w:val="24"/>
          <w:rtl/>
        </w:rPr>
        <w:t>בי"ס ל</w:t>
      </w:r>
      <w:r w:rsidR="00227BE9" w:rsidRPr="00A844C8">
        <w:rPr>
          <w:sz w:val="24"/>
          <w:szCs w:val="24"/>
          <w:rtl/>
        </w:rPr>
        <w:t>מדעי התנהגות, המכללה האקדמית נתניה</w:t>
      </w:r>
    </w:p>
    <w:p w14:paraId="2CDAE712" w14:textId="77777777" w:rsidR="005927B3" w:rsidRPr="00A844C8" w:rsidRDefault="00F56991" w:rsidP="00672FC4">
      <w:pPr>
        <w:rPr>
          <w:sz w:val="24"/>
          <w:szCs w:val="24"/>
        </w:rPr>
      </w:pPr>
      <w:r w:rsidRPr="00A844C8">
        <w:rPr>
          <w:b/>
          <w:bCs/>
          <w:spacing w:val="-5"/>
          <w:sz w:val="24"/>
          <w:szCs w:val="24"/>
          <w:rtl/>
        </w:rPr>
        <w:t>שנה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אקדמית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4"/>
          <w:sz w:val="24"/>
          <w:szCs w:val="24"/>
          <w:rtl/>
        </w:rPr>
        <w:t xml:space="preserve"> </w:t>
      </w:r>
      <w:proofErr w:type="spellStart"/>
      <w:r w:rsidRPr="00A844C8">
        <w:rPr>
          <w:sz w:val="24"/>
          <w:szCs w:val="24"/>
          <w:rtl/>
        </w:rPr>
        <w:t>תשפ</w:t>
      </w:r>
      <w:proofErr w:type="spellEnd"/>
      <w:r w:rsidRPr="00A844C8">
        <w:rPr>
          <w:sz w:val="24"/>
          <w:szCs w:val="24"/>
        </w:rPr>
        <w:t>"</w:t>
      </w:r>
      <w:r w:rsidRPr="00A844C8">
        <w:rPr>
          <w:sz w:val="24"/>
          <w:szCs w:val="24"/>
          <w:rtl/>
        </w:rPr>
        <w:t>ג</w:t>
      </w:r>
    </w:p>
    <w:p w14:paraId="64DF71E8" w14:textId="7F95F530" w:rsidR="005927B3" w:rsidRPr="00A844C8" w:rsidRDefault="00F56991" w:rsidP="00672FC4">
      <w:pPr>
        <w:rPr>
          <w:sz w:val="24"/>
          <w:szCs w:val="24"/>
        </w:rPr>
      </w:pPr>
      <w:r w:rsidRPr="00A844C8">
        <w:rPr>
          <w:b/>
          <w:bCs/>
          <w:spacing w:val="-2"/>
          <w:sz w:val="24"/>
          <w:szCs w:val="24"/>
          <w:rtl/>
        </w:rPr>
        <w:t>סמסטר</w:t>
      </w:r>
      <w:r w:rsidRPr="00A844C8">
        <w:rPr>
          <w:b/>
          <w:bCs/>
          <w:spacing w:val="-2"/>
          <w:sz w:val="24"/>
          <w:szCs w:val="24"/>
        </w:rPr>
        <w:t>:</w:t>
      </w:r>
      <w:r w:rsidRPr="00A844C8">
        <w:rPr>
          <w:spacing w:val="-1"/>
          <w:sz w:val="24"/>
          <w:szCs w:val="24"/>
          <w:rtl/>
        </w:rPr>
        <w:t xml:space="preserve"> </w:t>
      </w:r>
      <w:r w:rsidR="00652BED">
        <w:rPr>
          <w:rFonts w:hint="cs"/>
          <w:sz w:val="24"/>
          <w:szCs w:val="24"/>
          <w:rtl/>
        </w:rPr>
        <w:t>א</w:t>
      </w:r>
      <w:r w:rsidRPr="00A844C8">
        <w:rPr>
          <w:sz w:val="24"/>
          <w:szCs w:val="24"/>
        </w:rPr>
        <w:t>'</w:t>
      </w:r>
    </w:p>
    <w:p w14:paraId="0F37D56A" w14:textId="77777777" w:rsidR="00672FC4" w:rsidRPr="00A844C8" w:rsidRDefault="00F56991" w:rsidP="00672FC4">
      <w:pPr>
        <w:rPr>
          <w:b/>
          <w:bCs/>
          <w:sz w:val="24"/>
          <w:szCs w:val="24"/>
          <w:rtl/>
        </w:rPr>
      </w:pPr>
      <w:r w:rsidRPr="00A844C8">
        <w:rPr>
          <w:b/>
          <w:bCs/>
          <w:sz w:val="24"/>
          <w:szCs w:val="24"/>
          <w:rtl/>
        </w:rPr>
        <w:t>שפת</w:t>
      </w:r>
      <w:r w:rsidRPr="00A844C8">
        <w:rPr>
          <w:b/>
          <w:bCs/>
          <w:spacing w:val="-1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ההוראה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14"/>
          <w:sz w:val="24"/>
          <w:szCs w:val="24"/>
          <w:rtl/>
        </w:rPr>
        <w:t xml:space="preserve"> </w:t>
      </w:r>
      <w:r w:rsidRPr="00A844C8">
        <w:rPr>
          <w:sz w:val="24"/>
          <w:szCs w:val="24"/>
          <w:rtl/>
        </w:rPr>
        <w:t>עברית</w:t>
      </w:r>
      <w:r w:rsidRPr="00A844C8">
        <w:rPr>
          <w:b/>
          <w:bCs/>
          <w:sz w:val="24"/>
          <w:szCs w:val="24"/>
          <w:rtl/>
        </w:rPr>
        <w:t xml:space="preserve"> </w:t>
      </w:r>
    </w:p>
    <w:p w14:paraId="4998E9E8" w14:textId="6F1D6B58" w:rsidR="00672FC4" w:rsidRPr="00A844C8" w:rsidRDefault="00F56991" w:rsidP="00672FC4">
      <w:pPr>
        <w:rPr>
          <w:b/>
          <w:bCs/>
          <w:sz w:val="24"/>
          <w:szCs w:val="24"/>
          <w:rtl/>
        </w:rPr>
      </w:pPr>
      <w:r w:rsidRPr="00A844C8">
        <w:rPr>
          <w:b/>
          <w:bCs/>
          <w:sz w:val="24"/>
          <w:szCs w:val="24"/>
          <w:rtl/>
        </w:rPr>
        <w:t>המורה האחראי לקורס</w:t>
      </w:r>
      <w:r w:rsidRPr="00A844C8">
        <w:rPr>
          <w:sz w:val="24"/>
          <w:szCs w:val="24"/>
        </w:rPr>
        <w:t>:</w:t>
      </w:r>
      <w:r w:rsidRPr="00A844C8">
        <w:rPr>
          <w:sz w:val="24"/>
          <w:szCs w:val="24"/>
          <w:rtl/>
        </w:rPr>
        <w:t xml:space="preserve"> </w:t>
      </w:r>
      <w:proofErr w:type="spellStart"/>
      <w:r w:rsidRPr="00A844C8">
        <w:rPr>
          <w:sz w:val="24"/>
          <w:szCs w:val="24"/>
          <w:rtl/>
        </w:rPr>
        <w:t>פרופ</w:t>
      </w:r>
      <w:proofErr w:type="spellEnd"/>
      <w:r w:rsidRPr="00A844C8">
        <w:rPr>
          <w:sz w:val="24"/>
          <w:szCs w:val="24"/>
        </w:rPr>
        <w:t>'</w:t>
      </w:r>
      <w:r w:rsidRPr="00A844C8">
        <w:rPr>
          <w:sz w:val="24"/>
          <w:szCs w:val="24"/>
          <w:rtl/>
        </w:rPr>
        <w:t xml:space="preserve"> </w:t>
      </w:r>
      <w:r w:rsidR="00227BE9" w:rsidRPr="00A844C8">
        <w:rPr>
          <w:sz w:val="24"/>
          <w:szCs w:val="24"/>
          <w:rtl/>
        </w:rPr>
        <w:t xml:space="preserve">ליאת </w:t>
      </w:r>
      <w:proofErr w:type="spellStart"/>
      <w:r w:rsidR="00227BE9" w:rsidRPr="00A844C8">
        <w:rPr>
          <w:sz w:val="24"/>
          <w:szCs w:val="24"/>
          <w:rtl/>
        </w:rPr>
        <w:t>קוליק</w:t>
      </w:r>
      <w:proofErr w:type="spellEnd"/>
    </w:p>
    <w:p w14:paraId="6B21BF59" w14:textId="0AF148E8" w:rsidR="005927B3" w:rsidRPr="00A844C8" w:rsidRDefault="00F56991" w:rsidP="00672FC4">
      <w:pPr>
        <w:rPr>
          <w:sz w:val="24"/>
          <w:szCs w:val="24"/>
        </w:rPr>
      </w:pPr>
      <w:r w:rsidRPr="00A844C8">
        <w:rPr>
          <w:b/>
          <w:bCs/>
          <w:spacing w:val="-4"/>
          <w:sz w:val="24"/>
          <w:szCs w:val="24"/>
          <w:rtl/>
        </w:rPr>
        <w:t xml:space="preserve">דואר </w:t>
      </w:r>
      <w:r w:rsidRPr="00A844C8">
        <w:rPr>
          <w:b/>
          <w:bCs/>
          <w:sz w:val="24"/>
          <w:szCs w:val="24"/>
          <w:rtl/>
        </w:rPr>
        <w:t>אלקטרוני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של</w:t>
      </w:r>
      <w:r w:rsidRPr="00A844C8">
        <w:rPr>
          <w:b/>
          <w:bCs/>
          <w:spacing w:val="-4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המורה</w:t>
      </w:r>
      <w:r w:rsidRPr="00A844C8">
        <w:rPr>
          <w:b/>
          <w:bCs/>
          <w:spacing w:val="-1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האחראי</w:t>
      </w:r>
      <w:r w:rsidRPr="00A844C8">
        <w:rPr>
          <w:sz w:val="24"/>
          <w:szCs w:val="24"/>
        </w:rPr>
        <w:t>:</w:t>
      </w:r>
      <w:r w:rsidRPr="00A844C8">
        <w:rPr>
          <w:spacing w:val="-2"/>
          <w:sz w:val="24"/>
          <w:szCs w:val="24"/>
          <w:rtl/>
        </w:rPr>
        <w:t xml:space="preserve"> </w:t>
      </w:r>
      <w:r w:rsidR="000C3483" w:rsidRPr="00A844C8">
        <w:rPr>
          <w:rFonts w:eastAsia="Times New Roman"/>
          <w:sz w:val="24"/>
          <w:szCs w:val="24"/>
        </w:rPr>
        <w:t>kulik.liat@gmail.com</w:t>
      </w:r>
    </w:p>
    <w:p w14:paraId="08B6B305" w14:textId="53B3F5E9" w:rsidR="005927B3" w:rsidRPr="00A844C8" w:rsidRDefault="00F56991" w:rsidP="00672FC4">
      <w:pPr>
        <w:rPr>
          <w:sz w:val="24"/>
          <w:szCs w:val="24"/>
        </w:rPr>
      </w:pPr>
      <w:r w:rsidRPr="00A844C8">
        <w:rPr>
          <w:b/>
          <w:bCs/>
          <w:spacing w:val="-4"/>
          <w:sz w:val="24"/>
          <w:szCs w:val="24"/>
          <w:rtl/>
        </w:rPr>
        <w:t>תנאים</w:t>
      </w:r>
      <w:r w:rsidRPr="00A844C8">
        <w:rPr>
          <w:b/>
          <w:bCs/>
          <w:spacing w:val="-2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מקדימים</w:t>
      </w:r>
      <w:r w:rsidRPr="00A844C8">
        <w:rPr>
          <w:sz w:val="24"/>
          <w:szCs w:val="24"/>
        </w:rPr>
        <w:t>:</w:t>
      </w:r>
      <w:r w:rsidRPr="00A844C8">
        <w:rPr>
          <w:spacing w:val="-3"/>
          <w:sz w:val="24"/>
          <w:szCs w:val="24"/>
          <w:rtl/>
        </w:rPr>
        <w:t xml:space="preserve"> </w:t>
      </w:r>
      <w:r w:rsidR="000C3483" w:rsidRPr="00A844C8">
        <w:rPr>
          <w:sz w:val="24"/>
          <w:szCs w:val="24"/>
          <w:rtl/>
        </w:rPr>
        <w:t>אין</w:t>
      </w:r>
    </w:p>
    <w:p w14:paraId="348F61F4" w14:textId="77777777" w:rsidR="005927B3" w:rsidRPr="00A844C8" w:rsidRDefault="005927B3">
      <w:pPr>
        <w:pStyle w:val="a3"/>
        <w:spacing w:before="6"/>
        <w:rPr>
          <w:b/>
          <w:sz w:val="27"/>
        </w:rPr>
      </w:pPr>
    </w:p>
    <w:p w14:paraId="33F45FA4" w14:textId="77777777" w:rsidR="000C3483" w:rsidRPr="00A844C8" w:rsidRDefault="00F56991" w:rsidP="00672FC4">
      <w:pPr>
        <w:pStyle w:val="a3"/>
        <w:rPr>
          <w:b/>
          <w:bCs/>
          <w:rtl/>
        </w:rPr>
      </w:pPr>
      <w:r w:rsidRPr="00A844C8">
        <w:rPr>
          <w:b/>
          <w:bCs/>
          <w:rtl/>
        </w:rPr>
        <w:t>תיאור</w:t>
      </w:r>
      <w:r w:rsidRPr="00A844C8">
        <w:rPr>
          <w:b/>
          <w:bCs/>
          <w:spacing w:val="-14"/>
          <w:rtl/>
        </w:rPr>
        <w:t xml:space="preserve"> </w:t>
      </w:r>
      <w:r w:rsidRPr="00A844C8">
        <w:rPr>
          <w:b/>
          <w:bCs/>
          <w:rtl/>
        </w:rPr>
        <w:t>הקורס</w:t>
      </w:r>
      <w:r w:rsidRPr="00A844C8">
        <w:rPr>
          <w:b/>
          <w:bCs/>
        </w:rPr>
        <w:t>:</w:t>
      </w:r>
    </w:p>
    <w:p w14:paraId="32AE40CF" w14:textId="258F5709" w:rsidR="00084DDD" w:rsidRPr="00084DDD" w:rsidRDefault="00084DDD" w:rsidP="00C930B5">
      <w:pPr>
        <w:tabs>
          <w:tab w:val="left" w:pos="284"/>
        </w:tabs>
        <w:rPr>
          <w:rFonts w:eastAsia="Times New Roman"/>
          <w:sz w:val="24"/>
          <w:szCs w:val="24"/>
        </w:rPr>
      </w:pPr>
      <w:r w:rsidRPr="00084DDD">
        <w:rPr>
          <w:rFonts w:eastAsia="Times New Roman"/>
          <w:sz w:val="24"/>
          <w:szCs w:val="24"/>
          <w:rtl/>
        </w:rPr>
        <w:t>התקשורת הבין-אישית הינה התקשורת הבסיסית ביותר בין בני אדם, וזאת למרות המגוון העצום</w:t>
      </w:r>
      <w:r w:rsidRPr="00084DDD">
        <w:rPr>
          <w:rFonts w:eastAsia="Times New Roman" w:hint="cs"/>
          <w:sz w:val="24"/>
          <w:szCs w:val="24"/>
        </w:rPr>
        <w:t xml:space="preserve"> </w:t>
      </w:r>
      <w:r w:rsidRPr="00084DDD">
        <w:rPr>
          <w:rFonts w:eastAsia="Times New Roman" w:hint="cs"/>
          <w:sz w:val="24"/>
          <w:szCs w:val="24"/>
          <w:rtl/>
        </w:rPr>
        <w:t xml:space="preserve"> של  </w:t>
      </w:r>
      <w:r w:rsidRPr="00084DDD">
        <w:rPr>
          <w:rFonts w:eastAsia="Times New Roman"/>
          <w:sz w:val="24"/>
          <w:szCs w:val="24"/>
          <w:rtl/>
        </w:rPr>
        <w:t xml:space="preserve">צורות </w:t>
      </w:r>
      <w:r w:rsidR="009C7CD8">
        <w:rPr>
          <w:rFonts w:eastAsia="Times New Roman" w:hint="cs"/>
          <w:sz w:val="24"/>
          <w:szCs w:val="24"/>
          <w:rtl/>
        </w:rPr>
        <w:t xml:space="preserve"> תקשורת </w:t>
      </w:r>
      <w:r w:rsidRPr="00084DDD">
        <w:rPr>
          <w:rFonts w:eastAsia="Times New Roman"/>
          <w:sz w:val="24"/>
          <w:szCs w:val="24"/>
          <w:rtl/>
        </w:rPr>
        <w:t xml:space="preserve">המאפיינות את העידן </w:t>
      </w:r>
      <w:r w:rsidRPr="00084DDD">
        <w:rPr>
          <w:rFonts w:eastAsia="Times New Roman" w:hint="cs"/>
          <w:sz w:val="24"/>
          <w:szCs w:val="24"/>
          <w:rtl/>
        </w:rPr>
        <w:t xml:space="preserve"> הנוכחי</w:t>
      </w:r>
      <w:r w:rsidRPr="00084DDD">
        <w:rPr>
          <w:rFonts w:eastAsia="Times New Roman"/>
          <w:sz w:val="24"/>
          <w:szCs w:val="24"/>
          <w:rtl/>
        </w:rPr>
        <w:t>. כישורי תקשורת בין אישית</w:t>
      </w:r>
      <w:r w:rsidRPr="00084DDD">
        <w:rPr>
          <w:rFonts w:eastAsia="Times New Roman" w:hint="cs"/>
          <w:sz w:val="24"/>
          <w:szCs w:val="24"/>
          <w:rtl/>
        </w:rPr>
        <w:t>, מהווי</w:t>
      </w:r>
      <w:r w:rsidRPr="00084DDD">
        <w:rPr>
          <w:rFonts w:eastAsia="Times New Roman" w:hint="eastAsia"/>
          <w:sz w:val="24"/>
          <w:szCs w:val="24"/>
          <w:rtl/>
        </w:rPr>
        <w:t>ם</w:t>
      </w:r>
      <w:r w:rsidRPr="00084DDD">
        <w:rPr>
          <w:rFonts w:eastAsia="Times New Roman"/>
          <w:sz w:val="24"/>
          <w:szCs w:val="24"/>
          <w:rtl/>
        </w:rPr>
        <w:t xml:space="preserve"> מפתח  מרכזי בכל תחום  הקשור לאינטראקציה בין </w:t>
      </w:r>
      <w:r w:rsidRPr="00084DDD">
        <w:rPr>
          <w:rFonts w:eastAsia="Times New Roman" w:hint="cs"/>
          <w:sz w:val="24"/>
          <w:szCs w:val="24"/>
          <w:rtl/>
        </w:rPr>
        <w:t>אדם לרעהו,</w:t>
      </w:r>
      <w:r w:rsidRPr="00084DDD">
        <w:rPr>
          <w:rFonts w:eastAsia="Times New Roman"/>
          <w:sz w:val="24"/>
          <w:szCs w:val="24"/>
          <w:rtl/>
        </w:rPr>
        <w:t xml:space="preserve"> ולכן חשוב להבין את הכללים המנחים את צורותיה השונות של התקשורת הבין-אישית</w:t>
      </w:r>
      <w:r w:rsidRPr="00084DDD">
        <w:rPr>
          <w:rFonts w:eastAsia="Times New Roman" w:hint="cs"/>
          <w:sz w:val="24"/>
          <w:szCs w:val="24"/>
          <w:rtl/>
        </w:rPr>
        <w:t>,</w:t>
      </w:r>
      <w:r w:rsidRPr="00084DDD">
        <w:rPr>
          <w:rFonts w:eastAsia="Times New Roman"/>
          <w:sz w:val="24"/>
          <w:szCs w:val="24"/>
          <w:rtl/>
        </w:rPr>
        <w:t xml:space="preserve"> המילולית והלא מילולית.</w:t>
      </w:r>
      <w:r w:rsidR="007B7A09">
        <w:rPr>
          <w:rFonts w:eastAsia="Times New Roman" w:hint="cs"/>
          <w:sz w:val="24"/>
          <w:szCs w:val="24"/>
          <w:rtl/>
        </w:rPr>
        <w:t xml:space="preserve"> הקורס מספק</w:t>
      </w:r>
      <w:r w:rsidRPr="00084DDD">
        <w:rPr>
          <w:rFonts w:eastAsia="Times New Roman"/>
          <w:sz w:val="24"/>
          <w:szCs w:val="24"/>
          <w:rtl/>
        </w:rPr>
        <w:t xml:space="preserve">  הכירות עם מושגים </w:t>
      </w:r>
      <w:r w:rsidRPr="00084DDD">
        <w:rPr>
          <w:rFonts w:eastAsia="Times New Roman" w:hint="cs"/>
          <w:sz w:val="24"/>
          <w:szCs w:val="24"/>
          <w:rtl/>
        </w:rPr>
        <w:t xml:space="preserve"> ותהליכים </w:t>
      </w:r>
      <w:r w:rsidRPr="00084DDD">
        <w:rPr>
          <w:rFonts w:eastAsia="Times New Roman"/>
          <w:sz w:val="24"/>
          <w:szCs w:val="24"/>
          <w:rtl/>
        </w:rPr>
        <w:t xml:space="preserve"> באמצעותם   ניתן יהיה  להבין  ולנתח תופעות מרכזיות  בתקשורת בין אישית. הידע שיוצג בקו</w:t>
      </w:r>
      <w:r w:rsidRPr="00084DDD">
        <w:rPr>
          <w:rFonts w:eastAsia="Times New Roman" w:hint="cs"/>
          <w:sz w:val="24"/>
          <w:szCs w:val="24"/>
          <w:rtl/>
        </w:rPr>
        <w:t>ר</w:t>
      </w:r>
      <w:r w:rsidRPr="00084DDD">
        <w:rPr>
          <w:rFonts w:eastAsia="Times New Roman"/>
          <w:sz w:val="24"/>
          <w:szCs w:val="24"/>
          <w:rtl/>
        </w:rPr>
        <w:t xml:space="preserve">ס מתבסס על  </w:t>
      </w:r>
      <w:r w:rsidRPr="00084DDD">
        <w:rPr>
          <w:rFonts w:eastAsia="Times New Roman" w:hint="cs"/>
          <w:sz w:val="24"/>
          <w:szCs w:val="24"/>
          <w:rtl/>
        </w:rPr>
        <w:t>מגוון</w:t>
      </w:r>
      <w:r w:rsidRPr="00084DDD">
        <w:rPr>
          <w:rFonts w:eastAsia="Times New Roman"/>
          <w:sz w:val="24"/>
          <w:szCs w:val="24"/>
          <w:rtl/>
        </w:rPr>
        <w:t xml:space="preserve">  דיסציפלינות:</w:t>
      </w:r>
      <w:r w:rsidRPr="00084DDD">
        <w:rPr>
          <w:rFonts w:eastAsia="Times New Roman" w:hint="cs"/>
          <w:sz w:val="24"/>
          <w:szCs w:val="24"/>
          <w:rtl/>
        </w:rPr>
        <w:t xml:space="preserve"> </w:t>
      </w:r>
      <w:r w:rsidRPr="00084DDD">
        <w:rPr>
          <w:rFonts w:eastAsia="Times New Roman"/>
          <w:sz w:val="24"/>
          <w:szCs w:val="24"/>
          <w:rtl/>
        </w:rPr>
        <w:t>הפסיכולוגיה  החברתית, הסוציולוגיה  והאנתרופולוגיה</w:t>
      </w:r>
      <w:r w:rsidR="00845D31">
        <w:rPr>
          <w:rFonts w:eastAsia="Times New Roman" w:hint="cs"/>
          <w:sz w:val="24"/>
          <w:szCs w:val="24"/>
          <w:rtl/>
        </w:rPr>
        <w:t>,</w:t>
      </w:r>
      <w:r w:rsidR="007B7A09">
        <w:rPr>
          <w:rFonts w:eastAsia="Times New Roman" w:hint="cs"/>
          <w:sz w:val="24"/>
          <w:szCs w:val="24"/>
          <w:rtl/>
        </w:rPr>
        <w:t xml:space="preserve"> ומספק  מבט כולל על תהליכי תקשורת בין אישית  על צורותיה השונות.</w:t>
      </w:r>
    </w:p>
    <w:p w14:paraId="71EAD6A6" w14:textId="77777777" w:rsidR="005927B3" w:rsidRPr="00084DDD" w:rsidRDefault="005927B3">
      <w:pPr>
        <w:pStyle w:val="a3"/>
        <w:rPr>
          <w:sz w:val="20"/>
        </w:rPr>
      </w:pPr>
    </w:p>
    <w:p w14:paraId="128E3276" w14:textId="69D88E5D" w:rsidR="005927B3" w:rsidRPr="00A844C8" w:rsidRDefault="00F56991" w:rsidP="00445B97">
      <w:pPr>
        <w:rPr>
          <w:sz w:val="24"/>
          <w:szCs w:val="24"/>
          <w:rtl/>
        </w:rPr>
      </w:pPr>
      <w:r w:rsidRPr="00A844C8">
        <w:rPr>
          <w:b/>
          <w:bCs/>
          <w:spacing w:val="-4"/>
          <w:sz w:val="24"/>
          <w:szCs w:val="24"/>
          <w:rtl/>
        </w:rPr>
        <w:t>מטרת</w:t>
      </w:r>
      <w:r w:rsidRPr="00A844C8">
        <w:rPr>
          <w:b/>
          <w:bCs/>
          <w:spacing w:val="-2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הקורס</w:t>
      </w:r>
      <w:r w:rsidRPr="00A844C8">
        <w:rPr>
          <w:sz w:val="24"/>
          <w:szCs w:val="24"/>
        </w:rPr>
        <w:t>:</w:t>
      </w:r>
    </w:p>
    <w:p w14:paraId="7CF283E0" w14:textId="3FB1E52D" w:rsidR="00C930B5" w:rsidRDefault="00C930B5" w:rsidP="009C7CD8">
      <w:pPr>
        <w:tabs>
          <w:tab w:val="left" w:pos="284"/>
        </w:tabs>
        <w:rPr>
          <w:b/>
          <w:bCs/>
          <w:spacing w:val="-2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>להציג סוגיות נבחרות  בתקשורת  בין אדם לרעהו, בקבוצות</w:t>
      </w:r>
      <w:r w:rsidR="009C7CD8">
        <w:rPr>
          <w:rFonts w:eastAsia="Times New Roman" w:hint="cs"/>
          <w:sz w:val="24"/>
          <w:szCs w:val="24"/>
          <w:rtl/>
        </w:rPr>
        <w:t xml:space="preserve"> חברתיות </w:t>
      </w:r>
      <w:r>
        <w:rPr>
          <w:rFonts w:eastAsia="Times New Roman" w:hint="cs"/>
          <w:sz w:val="24"/>
          <w:szCs w:val="24"/>
          <w:rtl/>
        </w:rPr>
        <w:t xml:space="preserve"> פורמליות ו</w:t>
      </w:r>
      <w:r w:rsidR="00845D31">
        <w:rPr>
          <w:rFonts w:eastAsia="Times New Roman" w:hint="cs"/>
          <w:sz w:val="24"/>
          <w:szCs w:val="24"/>
          <w:rtl/>
        </w:rPr>
        <w:t>בלתי</w:t>
      </w:r>
      <w:r>
        <w:rPr>
          <w:rFonts w:eastAsia="Times New Roman" w:hint="cs"/>
          <w:sz w:val="24"/>
          <w:szCs w:val="24"/>
          <w:rtl/>
        </w:rPr>
        <w:t xml:space="preserve"> פורמליות</w:t>
      </w:r>
      <w:r w:rsidR="009C7CD8">
        <w:rPr>
          <w:rFonts w:eastAsia="Times New Roman" w:hint="cs"/>
          <w:sz w:val="24"/>
          <w:szCs w:val="24"/>
          <w:rtl/>
        </w:rPr>
        <w:t>.</w:t>
      </w:r>
      <w:r>
        <w:rPr>
          <w:rFonts w:eastAsia="Times New Roman" w:hint="cs"/>
          <w:sz w:val="24"/>
          <w:szCs w:val="24"/>
          <w:rtl/>
        </w:rPr>
        <w:t xml:space="preserve"> במהלך הקורס  נכיר</w:t>
      </w:r>
      <w:r w:rsidR="007B7A09">
        <w:rPr>
          <w:rFonts w:eastAsia="Times New Roman" w:hint="cs"/>
          <w:sz w:val="24"/>
          <w:szCs w:val="24"/>
          <w:rtl/>
        </w:rPr>
        <w:t xml:space="preserve"> מגוון</w:t>
      </w:r>
      <w:r>
        <w:rPr>
          <w:rFonts w:eastAsia="Times New Roman" w:hint="cs"/>
          <w:sz w:val="24"/>
          <w:szCs w:val="24"/>
          <w:rtl/>
        </w:rPr>
        <w:t xml:space="preserve"> ערוצי תקשורת מילוליים ולא מילוליים</w:t>
      </w:r>
      <w:r>
        <w:rPr>
          <w:rFonts w:hint="cs"/>
          <w:b/>
          <w:bCs/>
          <w:spacing w:val="-2"/>
          <w:sz w:val="24"/>
          <w:szCs w:val="24"/>
          <w:rtl/>
        </w:rPr>
        <w:t>.</w:t>
      </w:r>
    </w:p>
    <w:p w14:paraId="6B0FD8A0" w14:textId="77777777" w:rsidR="00C930B5" w:rsidRDefault="00C930B5" w:rsidP="00C930B5">
      <w:pPr>
        <w:tabs>
          <w:tab w:val="left" w:pos="284"/>
        </w:tabs>
        <w:rPr>
          <w:b/>
          <w:bCs/>
          <w:spacing w:val="-2"/>
          <w:sz w:val="24"/>
          <w:szCs w:val="24"/>
          <w:rtl/>
        </w:rPr>
      </w:pPr>
    </w:p>
    <w:p w14:paraId="47C6D05B" w14:textId="57FF6C81" w:rsidR="005927B3" w:rsidRPr="00A844C8" w:rsidRDefault="00F56991" w:rsidP="00C930B5">
      <w:pPr>
        <w:tabs>
          <w:tab w:val="left" w:pos="284"/>
        </w:tabs>
        <w:rPr>
          <w:b/>
          <w:bCs/>
          <w:sz w:val="24"/>
          <w:szCs w:val="24"/>
          <w:rtl/>
        </w:rPr>
      </w:pPr>
      <w:r w:rsidRPr="00A844C8">
        <w:rPr>
          <w:b/>
          <w:bCs/>
          <w:spacing w:val="-2"/>
          <w:sz w:val="24"/>
          <w:szCs w:val="24"/>
          <w:rtl/>
        </w:rPr>
        <w:t>תוצרי</w:t>
      </w:r>
      <w:r w:rsidRPr="00A844C8">
        <w:rPr>
          <w:b/>
          <w:bCs/>
          <w:spacing w:val="-7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למידה</w:t>
      </w:r>
      <w:r w:rsidRPr="00A844C8">
        <w:rPr>
          <w:b/>
          <w:bCs/>
          <w:sz w:val="24"/>
          <w:szCs w:val="24"/>
        </w:rPr>
        <w:t>:</w:t>
      </w:r>
    </w:p>
    <w:p w14:paraId="326E1870" w14:textId="77777777" w:rsidR="00C930B5" w:rsidRPr="00474BEB" w:rsidRDefault="00C930B5" w:rsidP="008E5992">
      <w:pPr>
        <w:pStyle w:val="a4"/>
        <w:numPr>
          <w:ilvl w:val="0"/>
          <w:numId w:val="8"/>
        </w:numPr>
        <w:tabs>
          <w:tab w:val="left" w:pos="284"/>
        </w:tabs>
        <w:ind w:left="714" w:hanging="357"/>
        <w:jc w:val="left"/>
        <w:rPr>
          <w:sz w:val="24"/>
          <w:szCs w:val="24"/>
          <w:rtl/>
        </w:rPr>
      </w:pPr>
      <w:r w:rsidRPr="00474BEB">
        <w:rPr>
          <w:sz w:val="24"/>
          <w:szCs w:val="24"/>
          <w:rtl/>
        </w:rPr>
        <w:t>הבנה של תהליכי  תקשורת בין אישית על מג</w:t>
      </w:r>
      <w:r w:rsidRPr="00474BEB">
        <w:rPr>
          <w:rFonts w:hint="cs"/>
          <w:sz w:val="24"/>
          <w:szCs w:val="24"/>
          <w:rtl/>
        </w:rPr>
        <w:t>ו</w:t>
      </w:r>
      <w:r w:rsidRPr="00474BEB">
        <w:rPr>
          <w:sz w:val="24"/>
          <w:szCs w:val="24"/>
          <w:rtl/>
        </w:rPr>
        <w:t>ון צורותיה</w:t>
      </w:r>
      <w:r w:rsidRPr="00474BEB">
        <w:rPr>
          <w:rFonts w:hint="cs"/>
          <w:sz w:val="24"/>
          <w:szCs w:val="24"/>
          <w:rtl/>
        </w:rPr>
        <w:t>.</w:t>
      </w:r>
    </w:p>
    <w:p w14:paraId="44AC4C24" w14:textId="02246080" w:rsidR="00C930B5" w:rsidRPr="00474BEB" w:rsidRDefault="00C930B5" w:rsidP="008E5992">
      <w:pPr>
        <w:pStyle w:val="a4"/>
        <w:numPr>
          <w:ilvl w:val="0"/>
          <w:numId w:val="8"/>
        </w:numPr>
        <w:tabs>
          <w:tab w:val="left" w:pos="284"/>
        </w:tabs>
        <w:ind w:left="714" w:hanging="357"/>
        <w:jc w:val="left"/>
        <w:rPr>
          <w:sz w:val="24"/>
          <w:szCs w:val="24"/>
        </w:rPr>
      </w:pPr>
      <w:r w:rsidRPr="00474BEB">
        <w:rPr>
          <w:sz w:val="24"/>
          <w:szCs w:val="24"/>
          <w:rtl/>
        </w:rPr>
        <w:t>מודעות לסגנונות  תקשורת בין אישית  עצמית ושיפורם</w:t>
      </w:r>
      <w:r w:rsidRPr="00474BEB">
        <w:rPr>
          <w:rFonts w:hint="cs"/>
          <w:sz w:val="24"/>
          <w:szCs w:val="24"/>
          <w:rtl/>
        </w:rPr>
        <w:t>.</w:t>
      </w:r>
      <w:r w:rsidRPr="00474BEB">
        <w:rPr>
          <w:sz w:val="24"/>
          <w:szCs w:val="24"/>
          <w:rtl/>
        </w:rPr>
        <w:t xml:space="preserve">  </w:t>
      </w:r>
    </w:p>
    <w:p w14:paraId="20F1D78C" w14:textId="6FAFDE55" w:rsidR="00C930B5" w:rsidRPr="00474BEB" w:rsidRDefault="00C930B5" w:rsidP="008E5992">
      <w:pPr>
        <w:pStyle w:val="a4"/>
        <w:numPr>
          <w:ilvl w:val="0"/>
          <w:numId w:val="8"/>
        </w:numPr>
        <w:ind w:left="714" w:hanging="357"/>
        <w:jc w:val="left"/>
        <w:rPr>
          <w:sz w:val="24"/>
          <w:szCs w:val="24"/>
          <w:rtl/>
        </w:rPr>
      </w:pPr>
      <w:r w:rsidRPr="00474BEB">
        <w:rPr>
          <w:sz w:val="24"/>
          <w:szCs w:val="24"/>
          <w:rtl/>
        </w:rPr>
        <w:t xml:space="preserve">פיתוח חשיבה אנליטית וביקורתית כלפי תחום </w:t>
      </w:r>
      <w:r w:rsidR="00845D31">
        <w:rPr>
          <w:rFonts w:hint="cs"/>
          <w:sz w:val="24"/>
          <w:szCs w:val="24"/>
          <w:rtl/>
        </w:rPr>
        <w:t xml:space="preserve"> השפעת </w:t>
      </w:r>
      <w:r w:rsidRPr="00474BEB">
        <w:rPr>
          <w:sz w:val="24"/>
          <w:szCs w:val="24"/>
          <w:rtl/>
        </w:rPr>
        <w:t xml:space="preserve"> התקשורת</w:t>
      </w:r>
      <w:r w:rsidR="007B7A09" w:rsidRPr="00474BEB">
        <w:rPr>
          <w:rFonts w:hint="cs"/>
          <w:sz w:val="24"/>
          <w:szCs w:val="24"/>
          <w:rtl/>
        </w:rPr>
        <w:t xml:space="preserve"> הבין אישית</w:t>
      </w:r>
      <w:r w:rsidRPr="00474BEB">
        <w:rPr>
          <w:rFonts w:hint="cs"/>
          <w:sz w:val="24"/>
          <w:szCs w:val="24"/>
          <w:rtl/>
        </w:rPr>
        <w:t>.</w:t>
      </w:r>
      <w:r w:rsidRPr="00474BEB">
        <w:rPr>
          <w:sz w:val="24"/>
          <w:szCs w:val="24"/>
          <w:rtl/>
        </w:rPr>
        <w:t xml:space="preserve"> </w:t>
      </w:r>
    </w:p>
    <w:p w14:paraId="79C78D56" w14:textId="1A385FF2" w:rsidR="005927B3" w:rsidRPr="00474BEB" w:rsidRDefault="00C930B5" w:rsidP="008E5992">
      <w:pPr>
        <w:pStyle w:val="a3"/>
        <w:numPr>
          <w:ilvl w:val="0"/>
          <w:numId w:val="8"/>
        </w:numPr>
        <w:ind w:left="714" w:hanging="357"/>
        <w:rPr>
          <w:rtl/>
        </w:rPr>
      </w:pPr>
      <w:r w:rsidRPr="00474BEB">
        <w:rPr>
          <w:rtl/>
        </w:rPr>
        <w:t>למידה כיצד ניתן לעשות שימוש בתקשורת</w:t>
      </w:r>
      <w:r w:rsidRPr="00474BEB">
        <w:t xml:space="preserve"> </w:t>
      </w:r>
      <w:r w:rsidRPr="00474BEB">
        <w:rPr>
          <w:rtl/>
        </w:rPr>
        <w:t xml:space="preserve">לצורך השפעה </w:t>
      </w:r>
      <w:r w:rsidRPr="00474BEB">
        <w:rPr>
          <w:rFonts w:hint="cs"/>
          <w:rtl/>
        </w:rPr>
        <w:t xml:space="preserve"> בין </w:t>
      </w:r>
      <w:r w:rsidRPr="00474BEB">
        <w:rPr>
          <w:rtl/>
        </w:rPr>
        <w:t>אישית</w:t>
      </w:r>
      <w:r w:rsidRPr="00474BEB">
        <w:rPr>
          <w:rFonts w:hint="cs"/>
          <w:rtl/>
        </w:rPr>
        <w:t>.</w:t>
      </w:r>
    </w:p>
    <w:p w14:paraId="7CDB3F9D" w14:textId="77777777" w:rsidR="00C930B5" w:rsidRPr="00A844C8" w:rsidRDefault="00C930B5" w:rsidP="00C930B5">
      <w:pPr>
        <w:pStyle w:val="a3"/>
        <w:rPr>
          <w:sz w:val="20"/>
        </w:rPr>
      </w:pPr>
    </w:p>
    <w:p w14:paraId="59979CBF" w14:textId="2892548B" w:rsidR="00784EFB" w:rsidRPr="00A844C8" w:rsidRDefault="00F56991" w:rsidP="00155259">
      <w:pPr>
        <w:rPr>
          <w:rFonts w:eastAsia="Times New Roman"/>
          <w:sz w:val="24"/>
          <w:szCs w:val="24"/>
          <w:rtl/>
        </w:rPr>
      </w:pPr>
      <w:r w:rsidRPr="00A844C8">
        <w:rPr>
          <w:b/>
          <w:bCs/>
          <w:spacing w:val="-2"/>
          <w:sz w:val="24"/>
          <w:szCs w:val="24"/>
          <w:rtl/>
        </w:rPr>
        <w:t>דרישת</w:t>
      </w:r>
      <w:r w:rsidRPr="00A844C8">
        <w:rPr>
          <w:b/>
          <w:bCs/>
          <w:spacing w:val="-1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נוכחות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2"/>
          <w:sz w:val="24"/>
          <w:szCs w:val="24"/>
          <w:rtl/>
        </w:rPr>
        <w:t xml:space="preserve"> </w:t>
      </w:r>
      <w:r w:rsidR="00962F1A" w:rsidRPr="00A844C8">
        <w:rPr>
          <w:rFonts w:eastAsia="Times New Roman"/>
          <w:sz w:val="24"/>
          <w:szCs w:val="24"/>
          <w:rtl/>
        </w:rPr>
        <w:t xml:space="preserve">נוכחות חובה בכל שיעור, עם זאת היעדרות של </w:t>
      </w:r>
      <w:r w:rsidR="007B7A09">
        <w:rPr>
          <w:rFonts w:eastAsia="Times New Roman" w:hint="cs"/>
          <w:sz w:val="24"/>
          <w:szCs w:val="24"/>
          <w:rtl/>
        </w:rPr>
        <w:t xml:space="preserve"> שלושה </w:t>
      </w:r>
      <w:r w:rsidR="00962F1A" w:rsidRPr="00A844C8">
        <w:rPr>
          <w:rFonts w:eastAsia="Times New Roman"/>
          <w:sz w:val="24"/>
          <w:szCs w:val="24"/>
          <w:rtl/>
        </w:rPr>
        <w:t xml:space="preserve"> שיעורים תתקבל כל עוד הסטודנטים </w:t>
      </w:r>
      <w:r w:rsidR="007B7A09">
        <w:rPr>
          <w:rFonts w:eastAsia="Times New Roman" w:hint="cs"/>
          <w:sz w:val="24"/>
          <w:szCs w:val="24"/>
          <w:rtl/>
        </w:rPr>
        <w:t xml:space="preserve"> שנעדרו </w:t>
      </w:r>
      <w:r w:rsidR="00962F1A" w:rsidRPr="00A844C8">
        <w:rPr>
          <w:rFonts w:eastAsia="Times New Roman"/>
          <w:sz w:val="24"/>
          <w:szCs w:val="24"/>
          <w:rtl/>
        </w:rPr>
        <w:t xml:space="preserve">ישלימו את חומר הקורס. </w:t>
      </w:r>
    </w:p>
    <w:p w14:paraId="11217022" w14:textId="77777777" w:rsidR="00E13D1C" w:rsidRPr="00A844C8" w:rsidRDefault="00E13D1C" w:rsidP="00155259">
      <w:pPr>
        <w:rPr>
          <w:rFonts w:eastAsia="Times New Roman"/>
          <w:sz w:val="24"/>
          <w:szCs w:val="24"/>
          <w:rtl/>
        </w:rPr>
      </w:pPr>
    </w:p>
    <w:p w14:paraId="1EC25B6C" w14:textId="04096AD1" w:rsidR="00E13D1C" w:rsidRPr="00A844C8" w:rsidRDefault="00E13D1C" w:rsidP="00155259">
      <w:pPr>
        <w:rPr>
          <w:rFonts w:eastAsia="Times New Roman"/>
          <w:sz w:val="24"/>
          <w:szCs w:val="24"/>
          <w:rtl/>
        </w:rPr>
      </w:pPr>
      <w:r w:rsidRPr="00A844C8">
        <w:rPr>
          <w:b/>
          <w:bCs/>
          <w:spacing w:val="-4"/>
          <w:sz w:val="24"/>
          <w:szCs w:val="24"/>
          <w:rtl/>
        </w:rPr>
        <w:t>שיטת</w:t>
      </w:r>
      <w:r w:rsidRPr="00A844C8">
        <w:rPr>
          <w:b/>
          <w:bCs/>
          <w:spacing w:val="47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ההוראה</w:t>
      </w:r>
      <w:r w:rsidRPr="00A844C8">
        <w:rPr>
          <w:b/>
          <w:bCs/>
          <w:spacing w:val="48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בקורס</w:t>
      </w:r>
      <w:r w:rsidRPr="00A844C8">
        <w:rPr>
          <w:sz w:val="24"/>
          <w:szCs w:val="24"/>
        </w:rPr>
        <w:t>:</w:t>
      </w:r>
      <w:r w:rsidRPr="00A844C8">
        <w:rPr>
          <w:spacing w:val="-4"/>
          <w:sz w:val="24"/>
          <w:szCs w:val="24"/>
          <w:rtl/>
        </w:rPr>
        <w:t xml:space="preserve">שיטת </w:t>
      </w:r>
      <w:r w:rsidR="007B7A09">
        <w:rPr>
          <w:rFonts w:hint="cs"/>
          <w:spacing w:val="-4"/>
          <w:sz w:val="24"/>
          <w:szCs w:val="24"/>
          <w:rtl/>
        </w:rPr>
        <w:t>ה</w:t>
      </w:r>
      <w:r w:rsidRPr="00A844C8">
        <w:rPr>
          <w:spacing w:val="-4"/>
          <w:sz w:val="24"/>
          <w:szCs w:val="24"/>
          <w:rtl/>
        </w:rPr>
        <w:t>הוראה</w:t>
      </w:r>
      <w:r w:rsidRPr="00A844C8">
        <w:rPr>
          <w:rFonts w:eastAsia="Times New Roman"/>
          <w:sz w:val="24"/>
          <w:szCs w:val="24"/>
          <w:rtl/>
        </w:rPr>
        <w:t xml:space="preserve"> היא פרונטלית תוך שילוב דיונים בכיתה</w:t>
      </w:r>
      <w:r w:rsidR="00962F1A" w:rsidRPr="00A844C8">
        <w:rPr>
          <w:rFonts w:eastAsia="Times New Roman"/>
          <w:sz w:val="24"/>
          <w:szCs w:val="24"/>
          <w:rtl/>
        </w:rPr>
        <w:t xml:space="preserve"> </w:t>
      </w:r>
      <w:r w:rsidRPr="00A844C8">
        <w:rPr>
          <w:rFonts w:eastAsia="Times New Roman"/>
          <w:sz w:val="24"/>
          <w:szCs w:val="24"/>
          <w:rtl/>
        </w:rPr>
        <w:t xml:space="preserve"> ה</w:t>
      </w:r>
      <w:r w:rsidR="007B7A09">
        <w:rPr>
          <w:rFonts w:eastAsia="Times New Roman" w:hint="cs"/>
          <w:sz w:val="24"/>
          <w:szCs w:val="24"/>
          <w:rtl/>
        </w:rPr>
        <w:t>מ</w:t>
      </w:r>
      <w:r w:rsidRPr="00A844C8">
        <w:rPr>
          <w:rFonts w:eastAsia="Times New Roman"/>
          <w:sz w:val="24"/>
          <w:szCs w:val="24"/>
          <w:rtl/>
        </w:rPr>
        <w:t>תבססים על חומר הקריאה.</w:t>
      </w:r>
    </w:p>
    <w:p w14:paraId="487333D9" w14:textId="77777777" w:rsidR="00E13D1C" w:rsidRPr="00A844C8" w:rsidRDefault="00E13D1C" w:rsidP="00155259">
      <w:pPr>
        <w:rPr>
          <w:rFonts w:eastAsia="Times New Roman"/>
          <w:sz w:val="24"/>
          <w:szCs w:val="24"/>
          <w:rtl/>
        </w:rPr>
      </w:pPr>
    </w:p>
    <w:p w14:paraId="1D0A2776" w14:textId="36C094A0" w:rsidR="00E13D1C" w:rsidRPr="00A844C8" w:rsidRDefault="00E13D1C" w:rsidP="007B7A09">
      <w:pPr>
        <w:tabs>
          <w:tab w:val="left" w:pos="284"/>
        </w:tabs>
        <w:spacing w:line="256" w:lineRule="auto"/>
        <w:rPr>
          <w:rFonts w:eastAsia="Times New Roman"/>
          <w:sz w:val="24"/>
          <w:szCs w:val="24"/>
          <w:rtl/>
        </w:rPr>
      </w:pPr>
      <w:r w:rsidRPr="00A844C8">
        <w:rPr>
          <w:b/>
          <w:bCs/>
          <w:spacing w:val="-4"/>
          <w:sz w:val="24"/>
          <w:szCs w:val="24"/>
          <w:rtl/>
        </w:rPr>
        <w:t>שיטת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הערכה</w:t>
      </w:r>
      <w:r w:rsidRPr="00A844C8">
        <w:rPr>
          <w:b/>
          <w:bCs/>
          <w:spacing w:val="-2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ומרכיבי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הציון</w:t>
      </w:r>
      <w:r w:rsidRPr="00A844C8">
        <w:rPr>
          <w:b/>
          <w:bCs/>
          <w:spacing w:val="-4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הסופי</w:t>
      </w:r>
      <w:r w:rsidRPr="00A844C8">
        <w:rPr>
          <w:rFonts w:eastAsia="Times New Roman"/>
          <w:sz w:val="24"/>
          <w:szCs w:val="24"/>
          <w:rtl/>
        </w:rPr>
        <w:t xml:space="preserve">: </w:t>
      </w:r>
      <w:r w:rsidR="00962F1A" w:rsidRPr="00A844C8">
        <w:rPr>
          <w:rFonts w:eastAsia="Times New Roman"/>
          <w:sz w:val="24"/>
          <w:szCs w:val="24"/>
          <w:rtl/>
        </w:rPr>
        <w:t xml:space="preserve"> </w:t>
      </w:r>
      <w:r w:rsidRPr="00A844C8">
        <w:rPr>
          <w:rFonts w:eastAsia="Times New Roman"/>
          <w:sz w:val="24"/>
          <w:szCs w:val="24"/>
          <w:rtl/>
        </w:rPr>
        <w:t xml:space="preserve">100% - ציון במבחן.  </w:t>
      </w:r>
    </w:p>
    <w:p w14:paraId="2D1B749F" w14:textId="77777777" w:rsidR="005927B3" w:rsidRPr="00A844C8" w:rsidRDefault="005927B3" w:rsidP="00155259">
      <w:pPr>
        <w:rPr>
          <w:sz w:val="20"/>
        </w:rPr>
        <w:sectPr w:rsidR="005927B3" w:rsidRPr="00A844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00" w:right="1560" w:bottom="960" w:left="1680" w:header="0" w:footer="773" w:gutter="0"/>
          <w:cols w:space="720"/>
        </w:sectPr>
      </w:pPr>
    </w:p>
    <w:p w14:paraId="1155D221" w14:textId="77777777" w:rsidR="005927B3" w:rsidRPr="00A844C8" w:rsidRDefault="005927B3">
      <w:pPr>
        <w:pStyle w:val="a3"/>
        <w:rPr>
          <w:b/>
          <w:sz w:val="28"/>
        </w:rPr>
      </w:pPr>
    </w:p>
    <w:p w14:paraId="35C7B606" w14:textId="77777777" w:rsidR="005927B3" w:rsidRPr="00A844C8" w:rsidRDefault="00F56991">
      <w:pPr>
        <w:rPr>
          <w:sz w:val="28"/>
        </w:rPr>
      </w:pPr>
      <w:r w:rsidRPr="00A844C8">
        <w:br w:type="column"/>
      </w:r>
    </w:p>
    <w:p w14:paraId="6D5F4701" w14:textId="77777777" w:rsidR="005927B3" w:rsidRPr="00A844C8" w:rsidRDefault="00F56991">
      <w:pPr>
        <w:rPr>
          <w:sz w:val="28"/>
        </w:rPr>
      </w:pPr>
      <w:r w:rsidRPr="00A844C8">
        <w:br w:type="column"/>
      </w:r>
    </w:p>
    <w:p w14:paraId="1214E172" w14:textId="77777777" w:rsidR="005927B3" w:rsidRPr="00A844C8" w:rsidRDefault="00F56991">
      <w:pPr>
        <w:rPr>
          <w:sz w:val="28"/>
        </w:rPr>
      </w:pPr>
      <w:r w:rsidRPr="00A844C8">
        <w:br w:type="column"/>
      </w:r>
    </w:p>
    <w:p w14:paraId="061F2635" w14:textId="4A9344B6" w:rsidR="005927B3" w:rsidRPr="00A844C8" w:rsidRDefault="006D7504" w:rsidP="00E13D1C">
      <w:pPr>
        <w:ind w:left="-1488" w:right="-4820"/>
        <w:rPr>
          <w:rtl/>
        </w:rPr>
        <w:sectPr w:rsidR="005927B3" w:rsidRPr="00A844C8" w:rsidSect="00784EFB">
          <w:type w:val="continuous"/>
          <w:pgSz w:w="11910" w:h="16840"/>
          <w:pgMar w:top="800" w:right="1560" w:bottom="960" w:left="1680" w:header="0" w:footer="773" w:gutter="0"/>
          <w:cols w:num="5" w:space="1470" w:equalWidth="0">
            <w:col w:w="2342" w:space="40"/>
            <w:col w:w="1739" w:space="39"/>
            <w:col w:w="558" w:space="40"/>
            <w:col w:w="2481" w:space="39"/>
            <w:col w:w="1392"/>
          </w:cols>
        </w:sectPr>
      </w:pPr>
      <w:r w:rsidRPr="00A844C8">
        <w:rPr>
          <w:b/>
          <w:bCs/>
          <w:spacing w:val="-4"/>
          <w:sz w:val="24"/>
          <w:szCs w:val="24"/>
          <w:rtl/>
        </w:rPr>
        <w:t xml:space="preserve"> </w:t>
      </w:r>
    </w:p>
    <w:p w14:paraId="4F6FC1F0" w14:textId="2D4A9CB1" w:rsidR="00E13D1C" w:rsidRPr="00A844C8" w:rsidRDefault="00F56991" w:rsidP="009C7CD8">
      <w:pPr>
        <w:tabs>
          <w:tab w:val="left" w:pos="284"/>
        </w:tabs>
        <w:contextualSpacing/>
        <w:jc w:val="left"/>
        <w:rPr>
          <w:rFonts w:eastAsia="Times New Roman"/>
          <w:sz w:val="24"/>
          <w:szCs w:val="24"/>
          <w:rtl/>
        </w:rPr>
      </w:pPr>
      <w:r w:rsidRPr="00A844C8">
        <w:rPr>
          <w:b/>
          <w:bCs/>
          <w:spacing w:val="-4"/>
          <w:sz w:val="24"/>
          <w:szCs w:val="24"/>
          <w:rtl/>
        </w:rPr>
        <w:lastRenderedPageBreak/>
        <w:t>שיטת</w:t>
      </w:r>
      <w:r w:rsidRPr="00A844C8">
        <w:rPr>
          <w:b/>
          <w:bCs/>
          <w:spacing w:val="-3"/>
          <w:sz w:val="24"/>
          <w:szCs w:val="24"/>
          <w:rtl/>
        </w:rPr>
        <w:t xml:space="preserve"> </w:t>
      </w:r>
      <w:r w:rsidRPr="00A844C8">
        <w:rPr>
          <w:b/>
          <w:bCs/>
          <w:sz w:val="24"/>
          <w:szCs w:val="24"/>
          <w:rtl/>
        </w:rPr>
        <w:t>המבחן</w:t>
      </w:r>
      <w:r w:rsidRPr="00A844C8">
        <w:rPr>
          <w:b/>
          <w:bCs/>
          <w:sz w:val="24"/>
          <w:szCs w:val="24"/>
        </w:rPr>
        <w:t>:</w:t>
      </w:r>
      <w:r w:rsidRPr="00A844C8">
        <w:rPr>
          <w:spacing w:val="-3"/>
          <w:sz w:val="24"/>
          <w:szCs w:val="24"/>
          <w:rtl/>
        </w:rPr>
        <w:t xml:space="preserve"> </w:t>
      </w:r>
      <w:r w:rsidR="009C7CD8">
        <w:rPr>
          <w:rFonts w:hint="cs"/>
          <w:sz w:val="24"/>
          <w:szCs w:val="24"/>
          <w:rtl/>
        </w:rPr>
        <w:t xml:space="preserve"> רב- ברירתי( </w:t>
      </w:r>
      <w:r w:rsidR="00E13D1C" w:rsidRPr="00A844C8">
        <w:rPr>
          <w:sz w:val="24"/>
          <w:szCs w:val="24"/>
          <w:rtl/>
        </w:rPr>
        <w:t>אמריקאי</w:t>
      </w:r>
      <w:r w:rsidR="009C7CD8">
        <w:rPr>
          <w:rFonts w:hint="cs"/>
          <w:sz w:val="24"/>
          <w:szCs w:val="24"/>
          <w:rtl/>
        </w:rPr>
        <w:t>)</w:t>
      </w:r>
      <w:r w:rsidR="00E13D1C" w:rsidRPr="00A844C8">
        <w:rPr>
          <w:sz w:val="24"/>
          <w:szCs w:val="24"/>
          <w:rtl/>
        </w:rPr>
        <w:t xml:space="preserve">, </w:t>
      </w:r>
      <w:r w:rsidR="00E13D1C" w:rsidRPr="00A844C8">
        <w:rPr>
          <w:rFonts w:eastAsia="Times New Roman"/>
          <w:sz w:val="24"/>
          <w:szCs w:val="24"/>
          <w:rtl/>
        </w:rPr>
        <w:t>השאלות במבחן יתבססו על %</w:t>
      </w:r>
      <w:r w:rsidR="00E13D1C" w:rsidRPr="00A844C8">
        <w:rPr>
          <w:rFonts w:eastAsia="Times New Roman"/>
          <w:sz w:val="24"/>
          <w:szCs w:val="24"/>
        </w:rPr>
        <w:t>80</w:t>
      </w:r>
      <w:r w:rsidR="00E13D1C" w:rsidRPr="00A844C8">
        <w:rPr>
          <w:rFonts w:eastAsia="Times New Roman"/>
          <w:sz w:val="24"/>
          <w:szCs w:val="24"/>
          <w:rtl/>
        </w:rPr>
        <w:t xml:space="preserve"> - חומר הרצאות, ו 20% - חומר ביבליוגרפי.</w:t>
      </w:r>
    </w:p>
    <w:p w14:paraId="2752BAD3" w14:textId="0D6FFE37" w:rsidR="005927B3" w:rsidRPr="00A844C8" w:rsidRDefault="005927B3" w:rsidP="00756C5F">
      <w:pPr>
        <w:jc w:val="right"/>
        <w:rPr>
          <w:sz w:val="24"/>
          <w:szCs w:val="24"/>
        </w:rPr>
      </w:pPr>
    </w:p>
    <w:p w14:paraId="2BD60818" w14:textId="77777777" w:rsidR="005927B3" w:rsidRPr="00A844C8" w:rsidRDefault="005927B3">
      <w:pPr>
        <w:pStyle w:val="a3"/>
        <w:rPr>
          <w:b/>
          <w:sz w:val="20"/>
        </w:rPr>
      </w:pPr>
    </w:p>
    <w:p w14:paraId="47D6934D" w14:textId="08E358A4" w:rsidR="005927B3" w:rsidRPr="008E5992" w:rsidRDefault="00F56991" w:rsidP="001A7B14">
      <w:pPr>
        <w:rPr>
          <w:b/>
          <w:bCs/>
          <w:sz w:val="24"/>
          <w:szCs w:val="24"/>
          <w:rtl/>
        </w:rPr>
      </w:pPr>
      <w:r w:rsidRPr="008E5992">
        <w:rPr>
          <w:b/>
          <w:bCs/>
          <w:spacing w:val="-2"/>
          <w:sz w:val="24"/>
          <w:szCs w:val="24"/>
          <w:u w:val="single"/>
          <w:rtl/>
        </w:rPr>
        <w:t>נושאי</w:t>
      </w:r>
      <w:r w:rsidRPr="008E5992">
        <w:rPr>
          <w:b/>
          <w:bCs/>
          <w:spacing w:val="-1"/>
          <w:sz w:val="24"/>
          <w:szCs w:val="24"/>
          <w:u w:val="single"/>
          <w:rtl/>
        </w:rPr>
        <w:t xml:space="preserve"> </w:t>
      </w:r>
      <w:r w:rsidRPr="008E5992">
        <w:rPr>
          <w:b/>
          <w:bCs/>
          <w:sz w:val="24"/>
          <w:szCs w:val="24"/>
          <w:u w:val="single"/>
          <w:rtl/>
        </w:rPr>
        <w:t>הקורס</w:t>
      </w:r>
      <w:r w:rsidRPr="008E5992">
        <w:rPr>
          <w:b/>
          <w:bCs/>
          <w:spacing w:val="-2"/>
          <w:sz w:val="24"/>
          <w:szCs w:val="24"/>
          <w:u w:val="single"/>
          <w:rtl/>
        </w:rPr>
        <w:t xml:space="preserve"> </w:t>
      </w:r>
      <w:r w:rsidRPr="008E5992">
        <w:rPr>
          <w:b/>
          <w:bCs/>
          <w:sz w:val="24"/>
          <w:szCs w:val="24"/>
          <w:u w:val="single"/>
          <w:rtl/>
        </w:rPr>
        <w:t>וחומרי</w:t>
      </w:r>
      <w:r w:rsidRPr="008E5992">
        <w:rPr>
          <w:b/>
          <w:bCs/>
          <w:spacing w:val="-3"/>
          <w:sz w:val="24"/>
          <w:szCs w:val="24"/>
          <w:u w:val="single"/>
          <w:rtl/>
        </w:rPr>
        <w:t xml:space="preserve"> </w:t>
      </w:r>
      <w:r w:rsidRPr="008E5992">
        <w:rPr>
          <w:b/>
          <w:bCs/>
          <w:sz w:val="24"/>
          <w:szCs w:val="24"/>
          <w:u w:val="single"/>
          <w:rtl/>
        </w:rPr>
        <w:t>ה</w:t>
      </w:r>
      <w:r w:rsidR="00756C5F" w:rsidRPr="008E5992">
        <w:rPr>
          <w:b/>
          <w:bCs/>
          <w:sz w:val="24"/>
          <w:szCs w:val="24"/>
          <w:u w:val="single"/>
          <w:rtl/>
        </w:rPr>
        <w:t>קריאה</w:t>
      </w:r>
      <w:r w:rsidR="001A7B14" w:rsidRPr="008E5992">
        <w:rPr>
          <w:b/>
          <w:bCs/>
          <w:sz w:val="24"/>
          <w:szCs w:val="24"/>
          <w:u w:val="single"/>
          <w:rtl/>
        </w:rPr>
        <w:t>:</w:t>
      </w:r>
      <w:r w:rsidRPr="008E5992">
        <w:rPr>
          <w:b/>
          <w:bCs/>
          <w:spacing w:val="-4"/>
          <w:sz w:val="24"/>
          <w:szCs w:val="24"/>
          <w:u w:val="single"/>
          <w:rtl/>
        </w:rPr>
        <w:t xml:space="preserve"> </w:t>
      </w:r>
    </w:p>
    <w:p w14:paraId="6EFA232F" w14:textId="77777777" w:rsidR="00756C5F" w:rsidRPr="008E5992" w:rsidRDefault="00756C5F" w:rsidP="00756C5F">
      <w:pPr>
        <w:tabs>
          <w:tab w:val="left" w:pos="284"/>
        </w:tabs>
        <w:spacing w:line="240" w:lineRule="auto"/>
        <w:rPr>
          <w:rFonts w:eastAsia="Times New Roman"/>
          <w:b/>
          <w:bCs/>
          <w:color w:val="000000"/>
          <w:sz w:val="24"/>
          <w:szCs w:val="24"/>
          <w:rtl/>
        </w:rPr>
      </w:pPr>
    </w:p>
    <w:p w14:paraId="1D913EB3" w14:textId="5BAE5A24" w:rsidR="00C930B5" w:rsidRPr="008E5992" w:rsidRDefault="008E5992" w:rsidP="00C930B5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>מבוא לתקשורת בין-אישית - הגדרות</w:t>
      </w:r>
    </w:p>
    <w:p w14:paraId="681F0A1A" w14:textId="77777777" w:rsidR="00C930B5" w:rsidRPr="008E5992" w:rsidRDefault="00C930B5" w:rsidP="00C930B5">
      <w:pPr>
        <w:rPr>
          <w:i/>
          <w:iCs/>
          <w:sz w:val="24"/>
          <w:szCs w:val="24"/>
          <w:u w:val="single"/>
          <w:rtl/>
        </w:rPr>
      </w:pPr>
    </w:p>
    <w:p w14:paraId="09D386AD" w14:textId="75E12EB1" w:rsidR="00C930B5" w:rsidRDefault="00C930B5" w:rsidP="00C930B5">
      <w:pPr>
        <w:tabs>
          <w:tab w:val="left" w:pos="284"/>
        </w:tabs>
        <w:bidi w:val="0"/>
        <w:ind w:left="737" w:hanging="680"/>
        <w:rPr>
          <w:sz w:val="24"/>
          <w:szCs w:val="24"/>
        </w:rPr>
      </w:pPr>
      <w:r w:rsidRPr="008E5992">
        <w:rPr>
          <w:color w:val="222222"/>
          <w:sz w:val="24"/>
          <w:szCs w:val="24"/>
          <w:shd w:val="clear" w:color="auto" w:fill="FFFFFF"/>
        </w:rPr>
        <w:t xml:space="preserve">Hartman, J. L., &amp;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McCambridge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J. (2011). Optimizing millennials’ communication styles.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Business Communication Quarterly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74</w:t>
      </w:r>
      <w:r w:rsidRPr="008E5992">
        <w:rPr>
          <w:color w:val="222222"/>
          <w:sz w:val="24"/>
          <w:szCs w:val="24"/>
          <w:shd w:val="clear" w:color="auto" w:fill="FFFFFF"/>
        </w:rPr>
        <w:t>(1), 22-44.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5AC9451E" w14:textId="77777777" w:rsidR="00231D54" w:rsidRDefault="00231D54" w:rsidP="00231D54">
      <w:pPr>
        <w:tabs>
          <w:tab w:val="left" w:pos="284"/>
        </w:tabs>
        <w:bidi w:val="0"/>
        <w:ind w:left="737" w:hanging="680"/>
        <w:rPr>
          <w:sz w:val="24"/>
          <w:szCs w:val="24"/>
        </w:rPr>
      </w:pPr>
    </w:p>
    <w:p w14:paraId="5E61DB42" w14:textId="77777777" w:rsidR="00231D54" w:rsidRPr="00231D54" w:rsidRDefault="00231D54" w:rsidP="00231D54">
      <w:pPr>
        <w:tabs>
          <w:tab w:val="left" w:pos="284"/>
        </w:tabs>
        <w:spacing w:line="240" w:lineRule="auto"/>
        <w:ind w:left="709" w:hanging="709"/>
        <w:jc w:val="left"/>
        <w:rPr>
          <w:rFonts w:eastAsia="Times New Roman"/>
          <w:color w:val="000000" w:themeColor="text1"/>
          <w:sz w:val="24"/>
          <w:szCs w:val="24"/>
          <w:rtl/>
        </w:rPr>
      </w:pPr>
      <w:proofErr w:type="spellStart"/>
      <w:r w:rsidRPr="00231D54">
        <w:rPr>
          <w:rFonts w:eastAsia="Times New Roman"/>
          <w:color w:val="000000" w:themeColor="text1"/>
          <w:sz w:val="24"/>
          <w:szCs w:val="24"/>
          <w:rtl/>
        </w:rPr>
        <w:t>מוצ'ניק</w:t>
      </w:r>
      <w:proofErr w:type="spellEnd"/>
      <w:r w:rsidRPr="00231D54">
        <w:rPr>
          <w:rFonts w:eastAsia="Times New Roman"/>
          <w:color w:val="000000" w:themeColor="text1"/>
          <w:sz w:val="24"/>
          <w:szCs w:val="24"/>
          <w:rtl/>
        </w:rPr>
        <w:t xml:space="preserve">, מ. (2002). </w:t>
      </w:r>
      <w:r w:rsidRPr="00231D54">
        <w:rPr>
          <w:rFonts w:eastAsia="Times New Roman"/>
          <w:color w:val="000000" w:themeColor="text1"/>
          <w:sz w:val="24"/>
          <w:szCs w:val="24"/>
          <w:u w:val="single"/>
          <w:rtl/>
        </w:rPr>
        <w:t>לשון, חברה ותרבות</w:t>
      </w:r>
      <w:r w:rsidRPr="00231D54">
        <w:rPr>
          <w:rFonts w:eastAsia="Times New Roman"/>
          <w:color w:val="000000" w:themeColor="text1"/>
          <w:sz w:val="24"/>
          <w:szCs w:val="24"/>
          <w:rtl/>
        </w:rPr>
        <w:t>. תל אביב: האוניברסיטה הפתוחה</w:t>
      </w:r>
      <w:r w:rsidRPr="00231D54">
        <w:rPr>
          <w:rFonts w:eastAsia="Times New Roman" w:hint="cs"/>
          <w:color w:val="000000" w:themeColor="text1"/>
          <w:sz w:val="24"/>
          <w:szCs w:val="24"/>
          <w:rtl/>
        </w:rPr>
        <w:t>.</w:t>
      </w:r>
      <w:r w:rsidRPr="00231D54">
        <w:rPr>
          <w:rFonts w:eastAsia="Times New Roman" w:hint="cs"/>
          <w:color w:val="000000" w:themeColor="text1"/>
          <w:sz w:val="24"/>
          <w:szCs w:val="24"/>
        </w:rPr>
        <w:t xml:space="preserve"> </w:t>
      </w:r>
      <w:r w:rsidRPr="00231D54">
        <w:rPr>
          <w:rFonts w:eastAsia="Times New Roman"/>
          <w:color w:val="000000" w:themeColor="text1"/>
          <w:sz w:val="24"/>
          <w:szCs w:val="24"/>
          <w:rtl/>
        </w:rPr>
        <w:t>כרך א':</w:t>
      </w:r>
      <w:r w:rsidRPr="00231D54">
        <w:rPr>
          <w:rFonts w:eastAsia="Times New Roman"/>
          <w:color w:val="000000" w:themeColor="text1"/>
          <w:sz w:val="24"/>
          <w:szCs w:val="24"/>
          <w:rtl/>
        </w:rPr>
        <w:tab/>
        <w:t xml:space="preserve">פרק 1 </w:t>
      </w:r>
      <w:r w:rsidRPr="00231D54">
        <w:rPr>
          <w:rFonts w:eastAsia="Times New Roman" w:hint="cs"/>
          <w:color w:val="000000" w:themeColor="text1"/>
          <w:sz w:val="24"/>
          <w:szCs w:val="24"/>
          <w:rtl/>
        </w:rPr>
        <w:t>-</w:t>
      </w:r>
      <w:r w:rsidRPr="00231D54">
        <w:rPr>
          <w:rFonts w:eastAsia="Times New Roman"/>
          <w:color w:val="000000" w:themeColor="text1"/>
          <w:sz w:val="24"/>
          <w:szCs w:val="24"/>
          <w:rtl/>
        </w:rPr>
        <w:t xml:space="preserve"> מבוא: הלשון כפעולה חברתית</w:t>
      </w:r>
      <w:r w:rsidRPr="00231D54">
        <w:rPr>
          <w:rFonts w:eastAsia="Times New Roman" w:hint="cs"/>
          <w:color w:val="000000" w:themeColor="text1"/>
          <w:sz w:val="24"/>
          <w:szCs w:val="24"/>
          <w:rtl/>
        </w:rPr>
        <w:t xml:space="preserve"> עמ'</w:t>
      </w:r>
      <w:r w:rsidRPr="00231D54">
        <w:rPr>
          <w:rFonts w:eastAsia="Times New Roman" w:hint="cs"/>
          <w:color w:val="000000" w:themeColor="text1"/>
          <w:sz w:val="24"/>
          <w:szCs w:val="24"/>
        </w:rPr>
        <w:t xml:space="preserve"> </w:t>
      </w:r>
      <w:r w:rsidRPr="00231D54">
        <w:rPr>
          <w:rFonts w:eastAsia="Times New Roman" w:hint="cs"/>
          <w:color w:val="000000" w:themeColor="text1"/>
          <w:sz w:val="24"/>
          <w:szCs w:val="24"/>
          <w:rtl/>
        </w:rPr>
        <w:t>11-54</w:t>
      </w:r>
    </w:p>
    <w:p w14:paraId="4CE9D28B" w14:textId="77777777" w:rsidR="00231D54" w:rsidRPr="008E5992" w:rsidRDefault="00231D54" w:rsidP="00231D54">
      <w:pPr>
        <w:tabs>
          <w:tab w:val="left" w:pos="284"/>
        </w:tabs>
        <w:bidi w:val="0"/>
        <w:ind w:left="737" w:hanging="680"/>
        <w:jc w:val="right"/>
        <w:rPr>
          <w:sz w:val="24"/>
          <w:szCs w:val="24"/>
        </w:rPr>
      </w:pPr>
    </w:p>
    <w:p w14:paraId="79710BE6" w14:textId="77777777" w:rsidR="00C930B5" w:rsidRPr="008E5992" w:rsidRDefault="00C930B5" w:rsidP="00C930B5">
      <w:pPr>
        <w:tabs>
          <w:tab w:val="left" w:pos="284"/>
        </w:tabs>
        <w:ind w:left="425"/>
        <w:rPr>
          <w:sz w:val="24"/>
          <w:szCs w:val="24"/>
          <w:rtl/>
        </w:rPr>
      </w:pPr>
    </w:p>
    <w:p w14:paraId="476ACA0D" w14:textId="6195C283" w:rsidR="00C930B5" w:rsidRPr="008E5992" w:rsidRDefault="008E5992" w:rsidP="00C930B5">
      <w:pPr>
        <w:tabs>
          <w:tab w:val="left" w:pos="284"/>
        </w:tabs>
        <w:rPr>
          <w:b/>
          <w:bCs/>
          <w:i/>
          <w:iCs/>
          <w:sz w:val="24"/>
          <w:szCs w:val="24"/>
          <w:u w:val="single"/>
          <w:rtl/>
        </w:rPr>
      </w:pPr>
      <w:r w:rsidRPr="008E5992">
        <w:rPr>
          <w:rFonts w:hint="cs"/>
          <w:b/>
          <w:bCs/>
          <w:sz w:val="24"/>
          <w:szCs w:val="24"/>
          <w:rtl/>
        </w:rPr>
        <w:t>2.</w:t>
      </w:r>
      <w:r>
        <w:rPr>
          <w:rFonts w:hint="cs"/>
          <w:sz w:val="24"/>
          <w:szCs w:val="24"/>
          <w:rtl/>
        </w:rPr>
        <w:t xml:space="preserve">  </w:t>
      </w:r>
      <w:r w:rsidR="00C930B5" w:rsidRPr="008E5992">
        <w:rPr>
          <w:i/>
          <w:iCs/>
          <w:sz w:val="24"/>
          <w:szCs w:val="24"/>
          <w:u w:val="single"/>
          <w:rtl/>
        </w:rPr>
        <w:t xml:space="preserve">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 xml:space="preserve">תקשורת שאינה מילולית </w:t>
      </w:r>
    </w:p>
    <w:p w14:paraId="66D636FD" w14:textId="77777777" w:rsidR="00C930B5" w:rsidRPr="008E5992" w:rsidRDefault="00C930B5" w:rsidP="00C930B5">
      <w:pPr>
        <w:tabs>
          <w:tab w:val="left" w:pos="284"/>
        </w:tabs>
        <w:ind w:left="720"/>
        <w:rPr>
          <w:sz w:val="24"/>
          <w:szCs w:val="24"/>
        </w:rPr>
      </w:pPr>
    </w:p>
    <w:p w14:paraId="37BF84B4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>Boone, R. T., &amp; Buck, R. (2003). Emotional expressivity and trustworthiness: The role of nonverbal behavior in the evolution of cooperation.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Nonverbal Behavior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27</w:t>
      </w:r>
      <w:r w:rsidRPr="008E5992">
        <w:rPr>
          <w:color w:val="222222"/>
          <w:sz w:val="24"/>
          <w:szCs w:val="24"/>
          <w:shd w:val="clear" w:color="auto" w:fill="FFFFFF"/>
        </w:rPr>
        <w:t>(3), 163-182.</w:t>
      </w:r>
    </w:p>
    <w:p w14:paraId="03F4BF2D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>Mandal, F. B. (2014). Nonverbal communication in humans.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human behavior in the social environment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24</w:t>
      </w:r>
      <w:r w:rsidRPr="008E5992">
        <w:rPr>
          <w:color w:val="222222"/>
          <w:sz w:val="24"/>
          <w:szCs w:val="24"/>
          <w:shd w:val="clear" w:color="auto" w:fill="FFFFFF"/>
        </w:rPr>
        <w:t>(4), 417-421.</w:t>
      </w:r>
    </w:p>
    <w:p w14:paraId="1FCDE43C" w14:textId="427EF956" w:rsidR="00C930B5" w:rsidRPr="008E5992" w:rsidRDefault="00C930B5" w:rsidP="00C930B5">
      <w:pPr>
        <w:bidi w:val="0"/>
        <w:ind w:left="680" w:hanging="680"/>
        <w:rPr>
          <w:sz w:val="24"/>
          <w:szCs w:val="24"/>
          <w:rtl/>
        </w:rPr>
      </w:pP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  <w:r w:rsidRPr="008E5992">
        <w:rPr>
          <w:color w:val="222222"/>
          <w:sz w:val="24"/>
          <w:szCs w:val="24"/>
          <w:shd w:val="clear" w:color="auto" w:fill="FFFFFF"/>
        </w:rPr>
        <w:t xml:space="preserve">Tracy, J. L.,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Randles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Steckler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C. M. (2015). The nonverbal communication of emotions.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Current opinion in behavioral sciences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3</w:t>
      </w:r>
      <w:r w:rsidRPr="008E5992">
        <w:rPr>
          <w:color w:val="222222"/>
          <w:sz w:val="24"/>
          <w:szCs w:val="24"/>
          <w:shd w:val="clear" w:color="auto" w:fill="FFFFFF"/>
        </w:rPr>
        <w:t>, 25-30.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4162B2C8" w14:textId="77777777" w:rsidR="00C930B5" w:rsidRPr="008E5992" w:rsidRDefault="00C930B5" w:rsidP="00C930B5">
      <w:pPr>
        <w:bidi w:val="0"/>
        <w:ind w:left="680" w:hanging="680"/>
        <w:rPr>
          <w:sz w:val="24"/>
          <w:szCs w:val="24"/>
          <w:rtl/>
        </w:rPr>
      </w:pPr>
      <w:r w:rsidRPr="008E5992">
        <w:rPr>
          <w:color w:val="222222"/>
          <w:sz w:val="24"/>
          <w:szCs w:val="24"/>
          <w:shd w:val="clear" w:color="auto" w:fill="FFFFFF"/>
        </w:rPr>
        <w:t>Jena, A. (2020). Non-verbal communication across different cultures.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International Journal of Multidisciplinary Educational Research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9</w:t>
      </w:r>
      <w:r w:rsidRPr="008E5992">
        <w:rPr>
          <w:color w:val="222222"/>
          <w:sz w:val="24"/>
          <w:szCs w:val="24"/>
          <w:shd w:val="clear" w:color="auto" w:fill="FFFFFF"/>
        </w:rPr>
        <w:t>(5), 169.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5651CADA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highlight w:val="yellow"/>
          <w:shd w:val="clear" w:color="auto" w:fill="FFFFFF"/>
          <w:rtl/>
        </w:rPr>
      </w:pPr>
      <w:bookmarkStart w:id="0" w:name="_Hlk109379321"/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Phutela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D. (2015). The importance of non-verbal communication.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IUP Journal of Soft Skills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9</w:t>
      </w:r>
      <w:r w:rsidRPr="008E5992">
        <w:rPr>
          <w:color w:val="222222"/>
          <w:sz w:val="24"/>
          <w:szCs w:val="24"/>
          <w:shd w:val="clear" w:color="auto" w:fill="FFFFFF"/>
        </w:rPr>
        <w:t>(4), 43.</w:t>
      </w:r>
    </w:p>
    <w:bookmarkEnd w:id="0"/>
    <w:p w14:paraId="1ADFEDDC" w14:textId="77777777" w:rsidR="00C930B5" w:rsidRPr="008E5992" w:rsidRDefault="00C930B5" w:rsidP="00C930B5">
      <w:pPr>
        <w:jc w:val="center"/>
        <w:rPr>
          <w:color w:val="222222"/>
          <w:sz w:val="24"/>
          <w:szCs w:val="24"/>
          <w:shd w:val="clear" w:color="auto" w:fill="FFFFFF"/>
        </w:rPr>
      </w:pPr>
    </w:p>
    <w:p w14:paraId="003EFDA8" w14:textId="7D7A90BD" w:rsidR="00C930B5" w:rsidRPr="008E5992" w:rsidRDefault="008E5992" w:rsidP="00C930B5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3. 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>תקשורת  מילולית: תתי לשון</w:t>
      </w:r>
    </w:p>
    <w:p w14:paraId="0C59223A" w14:textId="77777777" w:rsidR="00C930B5" w:rsidRPr="008E5992" w:rsidRDefault="00C930B5" w:rsidP="00C930B5">
      <w:pPr>
        <w:rPr>
          <w:sz w:val="24"/>
          <w:szCs w:val="24"/>
          <w:rtl/>
        </w:rPr>
      </w:pPr>
    </w:p>
    <w:p w14:paraId="5282C398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  <w:rtl/>
        </w:rPr>
      </w:pPr>
      <w:r w:rsidRPr="008E5992">
        <w:rPr>
          <w:color w:val="222222"/>
          <w:sz w:val="24"/>
          <w:szCs w:val="24"/>
          <w:shd w:val="clear" w:color="auto" w:fill="FFFFFF"/>
        </w:rPr>
        <w:t>Mazer, J. P., &amp; Hunt, S. K. (2008). “Cool” communication in the classroom: A preliminary examination of student perceptions of instructor use of positive slang.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Qualitative Research Reports in Communication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9</w:t>
      </w:r>
      <w:r w:rsidRPr="008E5992">
        <w:rPr>
          <w:color w:val="222222"/>
          <w:sz w:val="24"/>
          <w:szCs w:val="24"/>
          <w:shd w:val="clear" w:color="auto" w:fill="FFFFFF"/>
        </w:rPr>
        <w:t>(1), 20-28.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1165A327" w14:textId="1F75BA99" w:rsidR="00C930B5" w:rsidRDefault="00C930B5" w:rsidP="00C930B5">
      <w:pPr>
        <w:tabs>
          <w:tab w:val="left" w:pos="284"/>
        </w:tabs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Grebelsky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-Lichtman, T. (2014). Parental patterns of cooperation in parent–child interactions: The relationship between nonverbal and verbal communication.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Human Communication Research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40</w:t>
      </w:r>
      <w:r w:rsidRPr="008E5992">
        <w:rPr>
          <w:color w:val="222222"/>
          <w:sz w:val="24"/>
          <w:szCs w:val="24"/>
          <w:shd w:val="clear" w:color="auto" w:fill="FFFFFF"/>
        </w:rPr>
        <w:t>(1), 1-29.</w:t>
      </w:r>
    </w:p>
    <w:p w14:paraId="047959A5" w14:textId="77777777" w:rsidR="00C930B5" w:rsidRPr="008E5992" w:rsidRDefault="00C930B5" w:rsidP="00C930B5">
      <w:pPr>
        <w:tabs>
          <w:tab w:val="left" w:pos="284"/>
        </w:tabs>
        <w:ind w:left="680" w:hanging="680"/>
        <w:rPr>
          <w:sz w:val="24"/>
          <w:szCs w:val="24"/>
          <w:rtl/>
        </w:rPr>
      </w:pP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  <w:r w:rsidRPr="008E5992">
        <w:rPr>
          <w:sz w:val="24"/>
          <w:szCs w:val="24"/>
          <w:rtl/>
        </w:rPr>
        <w:t xml:space="preserve"> </w:t>
      </w:r>
      <w:proofErr w:type="spellStart"/>
      <w:r w:rsidRPr="008E5992">
        <w:rPr>
          <w:sz w:val="24"/>
          <w:szCs w:val="24"/>
          <w:rtl/>
        </w:rPr>
        <w:t>מוצ'ניק</w:t>
      </w:r>
      <w:proofErr w:type="spellEnd"/>
      <w:r w:rsidRPr="008E5992">
        <w:rPr>
          <w:sz w:val="24"/>
          <w:szCs w:val="24"/>
          <w:rtl/>
        </w:rPr>
        <w:t xml:space="preserve">, מ. (2002). </w:t>
      </w:r>
      <w:r w:rsidRPr="008E5992">
        <w:rPr>
          <w:sz w:val="24"/>
          <w:szCs w:val="24"/>
          <w:u w:val="single"/>
          <w:rtl/>
        </w:rPr>
        <w:t>לשון, חברה ותרבות</w:t>
      </w:r>
      <w:r w:rsidRPr="008E5992">
        <w:rPr>
          <w:sz w:val="24"/>
          <w:szCs w:val="24"/>
          <w:rtl/>
        </w:rPr>
        <w:t xml:space="preserve">. תל אביב: האוניברסיטה הפתוחה. פרק 2 – שונות ופלורליזם בלשון: דיאלקט </w:t>
      </w:r>
      <w:proofErr w:type="spellStart"/>
      <w:r w:rsidRPr="008E5992">
        <w:rPr>
          <w:sz w:val="24"/>
          <w:szCs w:val="24"/>
          <w:rtl/>
        </w:rPr>
        <w:t>וסוציואולקט</w:t>
      </w:r>
      <w:proofErr w:type="spellEnd"/>
      <w:r w:rsidRPr="008E5992">
        <w:rPr>
          <w:sz w:val="24"/>
          <w:szCs w:val="24"/>
          <w:rtl/>
        </w:rPr>
        <w:t>, עמ' 65 – 116</w:t>
      </w:r>
      <w:r w:rsidRPr="008E5992">
        <w:rPr>
          <w:color w:val="000080"/>
          <w:sz w:val="24"/>
          <w:szCs w:val="24"/>
        </w:rPr>
        <w:t>.</w:t>
      </w:r>
    </w:p>
    <w:p w14:paraId="3E70D441" w14:textId="77777777" w:rsidR="00C930B5" w:rsidRPr="008E5992" w:rsidRDefault="00C930B5" w:rsidP="00C930B5">
      <w:pPr>
        <w:tabs>
          <w:tab w:val="left" w:pos="284"/>
        </w:tabs>
        <w:ind w:left="680" w:hanging="680"/>
        <w:rPr>
          <w:sz w:val="24"/>
          <w:szCs w:val="24"/>
          <w:rtl/>
        </w:rPr>
      </w:pPr>
    </w:p>
    <w:p w14:paraId="098B8CC3" w14:textId="77777777" w:rsidR="00C930B5" w:rsidRPr="008E5992" w:rsidRDefault="00C930B5" w:rsidP="00C930B5">
      <w:pPr>
        <w:tabs>
          <w:tab w:val="left" w:pos="284"/>
        </w:tabs>
        <w:ind w:left="425"/>
        <w:rPr>
          <w:sz w:val="24"/>
          <w:szCs w:val="24"/>
          <w:rtl/>
        </w:rPr>
      </w:pPr>
    </w:p>
    <w:p w14:paraId="2A0F4B32" w14:textId="0955B329" w:rsidR="00C930B5" w:rsidRDefault="00C930B5" w:rsidP="00C930B5">
      <w:pPr>
        <w:tabs>
          <w:tab w:val="left" w:pos="284"/>
        </w:tabs>
        <w:ind w:left="425"/>
        <w:rPr>
          <w:b/>
          <w:bCs/>
          <w:i/>
          <w:iCs/>
          <w:sz w:val="24"/>
          <w:szCs w:val="24"/>
          <w:u w:val="single"/>
          <w:rtl/>
        </w:rPr>
      </w:pPr>
    </w:p>
    <w:p w14:paraId="37C6EC09" w14:textId="6559DB53" w:rsidR="008E5992" w:rsidRDefault="008E5992" w:rsidP="00C930B5">
      <w:pPr>
        <w:tabs>
          <w:tab w:val="left" w:pos="284"/>
        </w:tabs>
        <w:ind w:left="425"/>
        <w:rPr>
          <w:b/>
          <w:bCs/>
          <w:i/>
          <w:iCs/>
          <w:sz w:val="24"/>
          <w:szCs w:val="24"/>
          <w:u w:val="single"/>
          <w:rtl/>
        </w:rPr>
      </w:pPr>
    </w:p>
    <w:p w14:paraId="27C48B64" w14:textId="4007F934" w:rsidR="00C930B5" w:rsidRPr="008E5992" w:rsidRDefault="008E5992" w:rsidP="00C930B5">
      <w:pPr>
        <w:tabs>
          <w:tab w:val="left" w:pos="284"/>
        </w:tabs>
        <w:spacing w:line="256" w:lineRule="auto"/>
        <w:outlineLvl w:val="4"/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4. </w:t>
      </w:r>
      <w:r w:rsidR="00C930B5" w:rsidRPr="008E5992">
        <w:rPr>
          <w:b/>
          <w:bCs/>
          <w:i/>
          <w:iCs/>
          <w:sz w:val="24"/>
          <w:szCs w:val="24"/>
          <w:rtl/>
        </w:rPr>
        <w:t xml:space="preserve"> </w:t>
      </w:r>
      <w:r w:rsidR="00C930B5" w:rsidRPr="008E5992">
        <w:rPr>
          <w:b/>
          <w:bCs/>
          <w:i/>
          <w:iCs/>
          <w:sz w:val="24"/>
          <w:szCs w:val="24"/>
        </w:rPr>
        <w:t xml:space="preserve">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 xml:space="preserve"> משמעות השתיקות בתקשורת בין אישית </w:t>
      </w:r>
    </w:p>
    <w:p w14:paraId="1CC7BC9C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</w:p>
    <w:p w14:paraId="359B6731" w14:textId="5A097FC5" w:rsidR="00C930B5" w:rsidRDefault="00C930B5" w:rsidP="00C930B5">
      <w:pPr>
        <w:bidi w:val="0"/>
        <w:ind w:left="680" w:hanging="680"/>
        <w:rPr>
          <w:sz w:val="24"/>
          <w:szCs w:val="24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McMains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M. J. (2009). Making negotiations a focal concern: Enhancing active listening skills.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Police Crisis Negotiations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9</w:t>
      </w:r>
      <w:r w:rsidRPr="008E5992">
        <w:rPr>
          <w:color w:val="222222"/>
          <w:sz w:val="24"/>
          <w:szCs w:val="24"/>
          <w:shd w:val="clear" w:color="auto" w:fill="FFFFFF"/>
        </w:rPr>
        <w:t>(2), 176-179.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47E7A81C" w14:textId="77777777" w:rsidR="00E9672A" w:rsidRPr="00E9672A" w:rsidRDefault="00E9672A" w:rsidP="00E9672A">
      <w:pPr>
        <w:tabs>
          <w:tab w:val="left" w:pos="284"/>
        </w:tabs>
        <w:spacing w:line="240" w:lineRule="auto"/>
        <w:ind w:left="680" w:hanging="680"/>
        <w:jc w:val="left"/>
        <w:rPr>
          <w:rFonts w:eastAsia="Times New Roman"/>
          <w:color w:val="000000" w:themeColor="text1"/>
          <w:sz w:val="24"/>
          <w:szCs w:val="24"/>
        </w:rPr>
      </w:pPr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ניר, ר. (2012). שתיקה כפעילות דיבור. בתוך חמו, מ. </w:t>
      </w:r>
      <w:proofErr w:type="spellStart"/>
      <w:r w:rsidRPr="00E9672A">
        <w:rPr>
          <w:rFonts w:eastAsia="Times New Roman"/>
          <w:color w:val="000000" w:themeColor="text1"/>
          <w:sz w:val="24"/>
          <w:szCs w:val="24"/>
          <w:rtl/>
        </w:rPr>
        <w:t>בלונדהיים</w:t>
      </w:r>
      <w:proofErr w:type="spellEnd"/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, </w:t>
      </w:r>
      <w:r w:rsidRPr="00E9672A">
        <w:rPr>
          <w:rFonts w:eastAsia="Times New Roman" w:hint="cs"/>
          <w:color w:val="000000" w:themeColor="text1"/>
          <w:sz w:val="24"/>
          <w:szCs w:val="24"/>
          <w:rtl/>
        </w:rPr>
        <w:t>מ</w:t>
      </w:r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. </w:t>
      </w:r>
      <w:proofErr w:type="spellStart"/>
      <w:r w:rsidRPr="00E9672A">
        <w:rPr>
          <w:rFonts w:eastAsia="Times New Roman"/>
          <w:color w:val="000000" w:themeColor="text1"/>
          <w:sz w:val="24"/>
          <w:szCs w:val="24"/>
          <w:rtl/>
        </w:rPr>
        <w:t>וליבס</w:t>
      </w:r>
      <w:proofErr w:type="spellEnd"/>
      <w:r w:rsidRPr="00E9672A">
        <w:rPr>
          <w:rFonts w:eastAsia="Times New Roman" w:hint="cs"/>
          <w:color w:val="000000" w:themeColor="text1"/>
          <w:sz w:val="24"/>
          <w:szCs w:val="24"/>
          <w:rtl/>
        </w:rPr>
        <w:t>, ת'. (עורכים),</w:t>
      </w:r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 תקשורת כשיח: עיונים בשפה ובמדיה עמ' </w:t>
      </w:r>
      <w:r w:rsidRPr="00E9672A">
        <w:rPr>
          <w:rFonts w:eastAsia="Times New Roman" w:hint="cs"/>
          <w:color w:val="000000" w:themeColor="text1"/>
          <w:sz w:val="24"/>
          <w:szCs w:val="24"/>
          <w:rtl/>
        </w:rPr>
        <w:t>(45-55)</w:t>
      </w:r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. ירושלים: </w:t>
      </w:r>
      <w:proofErr w:type="spellStart"/>
      <w:r w:rsidRPr="00E9672A">
        <w:rPr>
          <w:rFonts w:eastAsia="Times New Roman"/>
          <w:color w:val="000000" w:themeColor="text1"/>
          <w:sz w:val="24"/>
          <w:szCs w:val="24"/>
          <w:rtl/>
        </w:rPr>
        <w:t>מגנס</w:t>
      </w:r>
      <w:proofErr w:type="spellEnd"/>
      <w:r w:rsidRPr="00E9672A">
        <w:rPr>
          <w:rFonts w:eastAsia="Times New Roman"/>
          <w:color w:val="000000" w:themeColor="text1"/>
          <w:sz w:val="24"/>
          <w:szCs w:val="24"/>
          <w:rtl/>
        </w:rPr>
        <w:t xml:space="preserve">. </w:t>
      </w:r>
    </w:p>
    <w:p w14:paraId="39779A3C" w14:textId="77777777" w:rsidR="00E9672A" w:rsidRPr="008E5992" w:rsidRDefault="00E9672A" w:rsidP="00E9672A">
      <w:pPr>
        <w:bidi w:val="0"/>
        <w:ind w:left="680" w:hanging="680"/>
        <w:jc w:val="right"/>
        <w:rPr>
          <w:sz w:val="24"/>
          <w:szCs w:val="24"/>
        </w:rPr>
      </w:pPr>
    </w:p>
    <w:p w14:paraId="7EAC2C67" w14:textId="77777777" w:rsidR="00C930B5" w:rsidRPr="008E5992" w:rsidRDefault="00C930B5" w:rsidP="00C930B5">
      <w:pPr>
        <w:rPr>
          <w:color w:val="222222"/>
          <w:sz w:val="24"/>
          <w:szCs w:val="24"/>
          <w:shd w:val="clear" w:color="auto" w:fill="FFFFFF"/>
        </w:rPr>
      </w:pPr>
    </w:p>
    <w:p w14:paraId="6E91A176" w14:textId="58479A74" w:rsidR="00C930B5" w:rsidRPr="008E5992" w:rsidRDefault="008E5992" w:rsidP="00C930B5">
      <w:pPr>
        <w:spacing w:line="276" w:lineRule="auto"/>
        <w:ind w:right="-180"/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5.  </w:t>
      </w:r>
      <w:r w:rsidR="00C930B5" w:rsidRPr="008E5992">
        <w:rPr>
          <w:b/>
          <w:bCs/>
          <w:i/>
          <w:iCs/>
          <w:color w:val="222222"/>
          <w:sz w:val="24"/>
          <w:szCs w:val="24"/>
          <w:u w:val="single"/>
          <w:shd w:val="clear" w:color="auto" w:fill="FFFFFF"/>
          <w:rtl/>
        </w:rPr>
        <w:t>‏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 xml:space="preserve"> לשון ותרבות </w:t>
      </w:r>
    </w:p>
    <w:p w14:paraId="72BA6A71" w14:textId="77777777" w:rsidR="00C930B5" w:rsidRPr="008E5992" w:rsidRDefault="00C930B5" w:rsidP="00C930B5">
      <w:pPr>
        <w:tabs>
          <w:tab w:val="left" w:pos="284"/>
        </w:tabs>
        <w:ind w:left="567"/>
        <w:rPr>
          <w:sz w:val="24"/>
          <w:szCs w:val="24"/>
        </w:rPr>
      </w:pPr>
    </w:p>
    <w:p w14:paraId="74927885" w14:textId="510F665F" w:rsidR="00C930B5" w:rsidRPr="008E5992" w:rsidRDefault="00C930B5" w:rsidP="00474BEB">
      <w:pPr>
        <w:tabs>
          <w:tab w:val="left" w:pos="284"/>
        </w:tabs>
        <w:ind w:left="680" w:hanging="680"/>
        <w:jc w:val="left"/>
        <w:rPr>
          <w:sz w:val="24"/>
          <w:szCs w:val="24"/>
        </w:rPr>
      </w:pPr>
      <w:proofErr w:type="spellStart"/>
      <w:r w:rsidRPr="008E5992">
        <w:rPr>
          <w:sz w:val="24"/>
          <w:szCs w:val="24"/>
          <w:rtl/>
        </w:rPr>
        <w:t>ליבס</w:t>
      </w:r>
      <w:proofErr w:type="spellEnd"/>
      <w:r w:rsidRPr="008E5992">
        <w:rPr>
          <w:sz w:val="24"/>
          <w:szCs w:val="24"/>
          <w:rtl/>
        </w:rPr>
        <w:t xml:space="preserve">, ת. </w:t>
      </w:r>
      <w:proofErr w:type="spellStart"/>
      <w:r w:rsidRPr="008E5992">
        <w:rPr>
          <w:sz w:val="24"/>
          <w:szCs w:val="24"/>
          <w:rtl/>
        </w:rPr>
        <w:t>וטלמון</w:t>
      </w:r>
      <w:proofErr w:type="spellEnd"/>
      <w:r w:rsidRPr="008E5992">
        <w:rPr>
          <w:sz w:val="24"/>
          <w:szCs w:val="24"/>
          <w:rtl/>
        </w:rPr>
        <w:t xml:space="preserve">, מ. (2003). תקשורת </w:t>
      </w:r>
      <w:r w:rsidR="00BE5DA8">
        <w:rPr>
          <w:rFonts w:hint="cs"/>
          <w:sz w:val="24"/>
          <w:szCs w:val="24"/>
          <w:rtl/>
        </w:rPr>
        <w:t>כ</w:t>
      </w:r>
      <w:r w:rsidRPr="008E5992">
        <w:rPr>
          <w:sz w:val="24"/>
          <w:szCs w:val="24"/>
          <w:rtl/>
        </w:rPr>
        <w:t>תרבות. תל אביב: האוניברסיטה הפתוחה. עמ' 13-27.</w:t>
      </w:r>
    </w:p>
    <w:p w14:paraId="07999562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>Gao, F. (2006). Language is culture–on intercultural communication.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Language and Linguistics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5</w:t>
      </w:r>
      <w:r w:rsidRPr="008E5992">
        <w:rPr>
          <w:color w:val="222222"/>
          <w:sz w:val="24"/>
          <w:szCs w:val="24"/>
          <w:shd w:val="clear" w:color="auto" w:fill="FFFFFF"/>
        </w:rPr>
        <w:t>(1), 58-67.</w:t>
      </w:r>
    </w:p>
    <w:p w14:paraId="094BF073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Soliz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J., &amp; Phillips, K. E. (2018). Toward a more expansive understanding of family communication: Considerations for inclusion of ethnic-racial and global diversity.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Family Communication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18</w:t>
      </w:r>
      <w:r w:rsidRPr="008E5992">
        <w:rPr>
          <w:color w:val="222222"/>
          <w:sz w:val="24"/>
          <w:szCs w:val="24"/>
          <w:shd w:val="clear" w:color="auto" w:fill="FFFFFF"/>
        </w:rPr>
        <w:t>(1), 5-12.</w:t>
      </w:r>
    </w:p>
    <w:p w14:paraId="4154344F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</w:p>
    <w:p w14:paraId="35C16074" w14:textId="39134448" w:rsidR="00C930B5" w:rsidRPr="008E5992" w:rsidRDefault="00C930B5" w:rsidP="008E5992">
      <w:pPr>
        <w:rPr>
          <w:b/>
          <w:bCs/>
          <w:i/>
          <w:iCs/>
          <w:sz w:val="24"/>
          <w:szCs w:val="24"/>
          <w:u w:val="single"/>
          <w:rtl/>
        </w:rPr>
      </w:pP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  <w:r w:rsidR="008E5992">
        <w:rPr>
          <w:rFonts w:hint="cs"/>
          <w:b/>
          <w:bCs/>
          <w:sz w:val="24"/>
          <w:szCs w:val="24"/>
          <w:rtl/>
        </w:rPr>
        <w:t xml:space="preserve">6.  </w:t>
      </w:r>
      <w:r w:rsidRPr="008E5992">
        <w:rPr>
          <w:b/>
          <w:bCs/>
          <w:i/>
          <w:iCs/>
          <w:sz w:val="24"/>
          <w:szCs w:val="24"/>
          <w:u w:val="single"/>
          <w:rtl/>
        </w:rPr>
        <w:t xml:space="preserve">הבדלים מגדריים בתקשורתי  בין אישית  </w:t>
      </w:r>
    </w:p>
    <w:p w14:paraId="569E10E4" w14:textId="77777777" w:rsidR="00C930B5" w:rsidRPr="008E5992" w:rsidRDefault="00C930B5" w:rsidP="00C930B5">
      <w:pPr>
        <w:rPr>
          <w:sz w:val="24"/>
          <w:szCs w:val="24"/>
          <w:rtl/>
        </w:rPr>
      </w:pPr>
    </w:p>
    <w:p w14:paraId="08FAD100" w14:textId="77777777" w:rsidR="00C930B5" w:rsidRPr="008E5992" w:rsidRDefault="00C930B5" w:rsidP="00C930B5">
      <w:pPr>
        <w:bidi w:val="0"/>
        <w:ind w:left="680" w:hanging="680"/>
        <w:rPr>
          <w:sz w:val="24"/>
          <w:szCs w:val="24"/>
        </w:rPr>
      </w:pPr>
      <w:r w:rsidRPr="008E5992">
        <w:rPr>
          <w:sz w:val="24"/>
          <w:szCs w:val="24"/>
        </w:rPr>
        <w:t>Hall, J. A., Carter, J. D., &amp; Horgan, T. G. (2000). Gender differences in the nonverbal communication of emotion. In A. H. Fischer (Ed.), Gender and emotion: Social psychological perspectives (pp. 97–117). Paris: Cambridge University Press.</w:t>
      </w:r>
    </w:p>
    <w:p w14:paraId="78E2817D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 xml:space="preserve">Vogel, D., Meyer, M., &amp;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Harendza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S. (2018). Verbal and non-verbal communication skills including empathy during history taking of undergraduate medical students.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18</w:t>
      </w:r>
      <w:r w:rsidRPr="008E5992">
        <w:rPr>
          <w:color w:val="222222"/>
          <w:sz w:val="24"/>
          <w:szCs w:val="24"/>
          <w:shd w:val="clear" w:color="auto" w:fill="FFFFFF"/>
        </w:rPr>
        <w:t>(1), 1-7.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0EC3824D" w14:textId="77777777" w:rsidR="00C930B5" w:rsidRPr="008E5992" w:rsidRDefault="00C930B5" w:rsidP="008E5992">
      <w:pPr>
        <w:tabs>
          <w:tab w:val="left" w:pos="284"/>
        </w:tabs>
        <w:ind w:left="680" w:hanging="680"/>
        <w:rPr>
          <w:sz w:val="24"/>
          <w:szCs w:val="24"/>
          <w:rtl/>
        </w:rPr>
      </w:pPr>
      <w:r w:rsidRPr="008E5992">
        <w:rPr>
          <w:sz w:val="24"/>
          <w:szCs w:val="24"/>
          <w:rtl/>
        </w:rPr>
        <w:t xml:space="preserve">מלאך פינס, א. וגולדברג, ח. (1998). </w:t>
      </w:r>
      <w:r w:rsidRPr="008E5992">
        <w:rPr>
          <w:sz w:val="24"/>
          <w:szCs w:val="24"/>
          <w:u w:val="single"/>
          <w:rtl/>
        </w:rPr>
        <w:t>פסיכולוגיה של המינים</w:t>
      </w:r>
      <w:r w:rsidRPr="008E5992">
        <w:rPr>
          <w:sz w:val="24"/>
          <w:szCs w:val="24"/>
          <w:rtl/>
        </w:rPr>
        <w:t xml:space="preserve">. תל אביב: האוניברסיטה הפתוחה. יחידה 4 – התנהגות מילולית, לא מילולית. </w:t>
      </w:r>
    </w:p>
    <w:p w14:paraId="79415F44" w14:textId="77777777" w:rsidR="00C930B5" w:rsidRPr="008E5992" w:rsidRDefault="00C930B5" w:rsidP="00C930B5">
      <w:pPr>
        <w:ind w:left="680" w:hanging="680"/>
        <w:rPr>
          <w:sz w:val="24"/>
          <w:szCs w:val="24"/>
          <w:rtl/>
        </w:rPr>
      </w:pPr>
      <w:proofErr w:type="spellStart"/>
      <w:r w:rsidRPr="008E5992">
        <w:rPr>
          <w:sz w:val="24"/>
          <w:szCs w:val="24"/>
          <w:rtl/>
        </w:rPr>
        <w:t>מוצ'ניק</w:t>
      </w:r>
      <w:proofErr w:type="spellEnd"/>
      <w:r w:rsidRPr="008E5992">
        <w:rPr>
          <w:sz w:val="24"/>
          <w:szCs w:val="24"/>
          <w:rtl/>
        </w:rPr>
        <w:t xml:space="preserve">, מ. (2002). </w:t>
      </w:r>
      <w:r w:rsidRPr="008E5992">
        <w:rPr>
          <w:sz w:val="24"/>
          <w:szCs w:val="24"/>
          <w:u w:val="single"/>
          <w:rtl/>
        </w:rPr>
        <w:t>לשון, חברה ותרבות</w:t>
      </w:r>
      <w:r w:rsidRPr="008E5992">
        <w:rPr>
          <w:sz w:val="24"/>
          <w:szCs w:val="24"/>
          <w:rtl/>
        </w:rPr>
        <w:t>. תל אביב: האוניברסיטה הפתוחה. כרך ב': פרק 4 – לשון ומגדר, עמ' 4 – 66. פרק 5 – לשון, אידיאולוגיה ועמדות, עמ' 81 – 143.</w:t>
      </w:r>
    </w:p>
    <w:p w14:paraId="38898730" w14:textId="77777777" w:rsidR="00C930B5" w:rsidRPr="008E5992" w:rsidRDefault="00C930B5" w:rsidP="008E5992">
      <w:pPr>
        <w:tabs>
          <w:tab w:val="left" w:pos="284"/>
        </w:tabs>
        <w:ind w:left="680" w:hanging="680"/>
        <w:rPr>
          <w:sz w:val="24"/>
          <w:szCs w:val="24"/>
        </w:rPr>
      </w:pPr>
      <w:r w:rsidRPr="008E5992">
        <w:rPr>
          <w:sz w:val="24"/>
          <w:szCs w:val="24"/>
          <w:rtl/>
        </w:rPr>
        <w:t xml:space="preserve">נבו, נ. (2010). </w:t>
      </w:r>
      <w:proofErr w:type="spellStart"/>
      <w:r w:rsidRPr="008E5992">
        <w:rPr>
          <w:sz w:val="24"/>
          <w:szCs w:val="24"/>
          <w:rtl/>
        </w:rPr>
        <w:t>לשון,ומגדר</w:t>
      </w:r>
      <w:proofErr w:type="spellEnd"/>
      <w:r w:rsidRPr="008E5992">
        <w:rPr>
          <w:sz w:val="24"/>
          <w:szCs w:val="24"/>
          <w:rtl/>
        </w:rPr>
        <w:t xml:space="preserve">: עיון בשיח המשפחתי הישראלי.  </w:t>
      </w:r>
      <w:r w:rsidRPr="008E5992">
        <w:rPr>
          <w:sz w:val="24"/>
          <w:szCs w:val="24"/>
          <w:u w:val="single"/>
          <w:rtl/>
        </w:rPr>
        <w:t>מגמות</w:t>
      </w:r>
      <w:r w:rsidRPr="008E5992">
        <w:rPr>
          <w:sz w:val="24"/>
          <w:szCs w:val="24"/>
          <w:rtl/>
        </w:rPr>
        <w:t xml:space="preserve"> ,</w:t>
      </w:r>
      <w:r w:rsidRPr="008E5992">
        <w:rPr>
          <w:sz w:val="24"/>
          <w:szCs w:val="24"/>
          <w:u w:val="single"/>
          <w:rtl/>
        </w:rPr>
        <w:t>מ"ז (1)</w:t>
      </w:r>
      <w:r w:rsidRPr="008E5992">
        <w:rPr>
          <w:sz w:val="24"/>
          <w:szCs w:val="24"/>
          <w:rtl/>
        </w:rPr>
        <w:t xml:space="preserve">, 149-183 </w:t>
      </w:r>
      <w:r w:rsidRPr="008E5992">
        <w:rPr>
          <w:color w:val="000080"/>
          <w:sz w:val="24"/>
          <w:szCs w:val="24"/>
          <w:rtl/>
        </w:rPr>
        <w:t>כתב עת.</w:t>
      </w:r>
    </w:p>
    <w:p w14:paraId="0F141D8C" w14:textId="77777777" w:rsidR="00C930B5" w:rsidRPr="008E5992" w:rsidRDefault="00C930B5" w:rsidP="00C930B5">
      <w:pPr>
        <w:ind w:left="680" w:hanging="680"/>
        <w:rPr>
          <w:sz w:val="24"/>
          <w:szCs w:val="24"/>
          <w:rtl/>
        </w:rPr>
      </w:pPr>
    </w:p>
    <w:p w14:paraId="2D5212A9" w14:textId="211A388F" w:rsidR="00C930B5" w:rsidRPr="008E5992" w:rsidRDefault="008E5992" w:rsidP="00C930B5">
      <w:pPr>
        <w:rPr>
          <w:b/>
          <w:bCs/>
          <w:i/>
          <w:iCs/>
          <w:color w:val="222222"/>
          <w:sz w:val="24"/>
          <w:szCs w:val="24"/>
          <w:u w:val="single"/>
          <w:shd w:val="clear" w:color="auto" w:fill="FFFFFF"/>
        </w:rPr>
      </w:pPr>
      <w:r>
        <w:rPr>
          <w:rFonts w:hint="cs"/>
          <w:b/>
          <w:bCs/>
          <w:sz w:val="24"/>
          <w:szCs w:val="24"/>
          <w:rtl/>
        </w:rPr>
        <w:t xml:space="preserve">7. 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>תקשורת ושינוי עמדות. תחבולות שכנוע</w:t>
      </w:r>
    </w:p>
    <w:p w14:paraId="40A2B429" w14:textId="77777777" w:rsidR="00C930B5" w:rsidRPr="008E5992" w:rsidRDefault="00C930B5" w:rsidP="00C930B5">
      <w:pPr>
        <w:rPr>
          <w:color w:val="222222"/>
          <w:sz w:val="24"/>
          <w:szCs w:val="24"/>
          <w:shd w:val="clear" w:color="auto" w:fill="FFFFFF"/>
        </w:rPr>
      </w:pPr>
    </w:p>
    <w:p w14:paraId="6F5AC177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>Perloff, R. M. (2010). The dynamics of persuasion: communication and attitudes in the 21st century (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 xml:space="preserve">New </w:t>
      </w:r>
      <w:proofErr w:type="spellStart"/>
      <w:proofErr w:type="gramStart"/>
      <w:r w:rsidRPr="008E5992">
        <w:rPr>
          <w:i/>
          <w:iCs/>
          <w:color w:val="222222"/>
          <w:sz w:val="24"/>
          <w:szCs w:val="24"/>
          <w:shd w:val="clear" w:color="auto" w:fill="FFFFFF"/>
        </w:rPr>
        <w:t>York</w:t>
      </w:r>
      <w:r w:rsidRPr="008E5992">
        <w:rPr>
          <w:color w:val="222222"/>
          <w:sz w:val="24"/>
          <w:szCs w:val="24"/>
          <w:shd w:val="clear" w:color="auto" w:fill="FFFFFF"/>
        </w:rPr>
        <w:t>;Routlsdje</w:t>
      </w:r>
      <w:proofErr w:type="spellEnd"/>
      <w:proofErr w:type="gramEnd"/>
      <w:r w:rsidRPr="008E5992">
        <w:rPr>
          <w:color w:val="222222"/>
          <w:sz w:val="24"/>
          <w:szCs w:val="24"/>
          <w:shd w:val="clear" w:color="auto" w:fill="FFFFFF"/>
        </w:rPr>
        <w:t xml:space="preserve"> </w:t>
      </w:r>
      <w:r w:rsidRPr="008E5992">
        <w:rPr>
          <w:sz w:val="24"/>
          <w:szCs w:val="24"/>
        </w:rPr>
        <w:t>(pp. 40–57</w:t>
      </w:r>
      <w:r w:rsidRPr="008E5992">
        <w:rPr>
          <w:color w:val="222222"/>
          <w:sz w:val="24"/>
          <w:szCs w:val="24"/>
          <w:shd w:val="clear" w:color="auto" w:fill="FFFFFF"/>
        </w:rPr>
        <w:t>;</w:t>
      </w:r>
      <w:r w:rsidRPr="008E5992">
        <w:rPr>
          <w:sz w:val="24"/>
          <w:szCs w:val="24"/>
        </w:rPr>
        <w:t xml:space="preserve"> 80–88)</w:t>
      </w:r>
      <w:r w:rsidRPr="008E5992">
        <w:rPr>
          <w:color w:val="222222"/>
          <w:sz w:val="24"/>
          <w:szCs w:val="24"/>
          <w:shd w:val="clear" w:color="auto" w:fill="FFFFFF"/>
        </w:rPr>
        <w:t>.</w:t>
      </w:r>
    </w:p>
    <w:p w14:paraId="72A28CA0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Fransen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 xml:space="preserve">, M. L., Smit, E. G., &amp;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Verlegh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P. W. (2015). Strategies and motives for resistance to persuasion: An integrative framework.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6</w:t>
      </w:r>
      <w:r w:rsidRPr="008E5992">
        <w:rPr>
          <w:color w:val="222222"/>
          <w:sz w:val="24"/>
          <w:szCs w:val="24"/>
          <w:shd w:val="clear" w:color="auto" w:fill="FFFFFF"/>
        </w:rPr>
        <w:t>, 1201.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6AB750CF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</w:p>
    <w:p w14:paraId="15A4176D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lastRenderedPageBreak/>
        <w:t>Miko</w:t>
      </w:r>
      <w:r w:rsidRPr="008E599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ł</w:t>
      </w:r>
      <w:r w:rsidRPr="008E5992">
        <w:rPr>
          <w:color w:val="222222"/>
          <w:sz w:val="24"/>
          <w:szCs w:val="24"/>
          <w:shd w:val="clear" w:color="auto" w:fill="FFFFFF"/>
        </w:rPr>
        <w:t>ajczak-Degrauwe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Brengman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M. (2014). The influence of advertising on compulsive buying—The role of persuasion knowledge.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Journal of behavioral addictions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3</w:t>
      </w:r>
      <w:r w:rsidRPr="008E5992">
        <w:rPr>
          <w:color w:val="222222"/>
          <w:sz w:val="24"/>
          <w:szCs w:val="24"/>
          <w:shd w:val="clear" w:color="auto" w:fill="FFFFFF"/>
        </w:rPr>
        <w:t>(1), 65-73.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53237E99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3BC677D6" w14:textId="43655167" w:rsidR="00C930B5" w:rsidRPr="008E5992" w:rsidRDefault="008E5992" w:rsidP="00C930B5">
      <w:pPr>
        <w:rPr>
          <w:b/>
          <w:bCs/>
          <w:i/>
          <w:iCs/>
          <w:color w:val="222222"/>
          <w:sz w:val="24"/>
          <w:szCs w:val="24"/>
          <w:u w:val="single"/>
          <w:shd w:val="clear" w:color="auto" w:fill="FFFFFF"/>
        </w:rPr>
      </w:pPr>
      <w:r>
        <w:rPr>
          <w:rFonts w:hint="cs"/>
          <w:b/>
          <w:bCs/>
          <w:sz w:val="24"/>
          <w:szCs w:val="24"/>
          <w:rtl/>
        </w:rPr>
        <w:t xml:space="preserve">8. 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>תקשורת באמצעות  הומור</w:t>
      </w:r>
    </w:p>
    <w:p w14:paraId="47F01379" w14:textId="77777777" w:rsidR="00C930B5" w:rsidRPr="008E5992" w:rsidRDefault="00C930B5" w:rsidP="00C930B5">
      <w:pPr>
        <w:rPr>
          <w:color w:val="222222"/>
          <w:sz w:val="24"/>
          <w:szCs w:val="24"/>
          <w:shd w:val="clear" w:color="auto" w:fill="FFFFFF"/>
        </w:rPr>
      </w:pPr>
    </w:p>
    <w:p w14:paraId="77E65EBD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Cann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A., Zapata, C. L., &amp; Davis, H. B. (2009). Positive and negative styles of humor in communication: Evidence for the importance of considering both styles.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Communication Quarterly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57</w:t>
      </w:r>
      <w:r w:rsidRPr="008E5992">
        <w:rPr>
          <w:color w:val="222222"/>
          <w:sz w:val="24"/>
          <w:szCs w:val="24"/>
          <w:shd w:val="clear" w:color="auto" w:fill="FFFFFF"/>
        </w:rPr>
        <w:t>(4), 452-468.</w:t>
      </w:r>
    </w:p>
    <w:p w14:paraId="75D33A52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  <w:r w:rsidRPr="008E5992">
        <w:rPr>
          <w:color w:val="222222"/>
          <w:sz w:val="24"/>
          <w:szCs w:val="24"/>
          <w:shd w:val="clear" w:color="auto" w:fill="FFFFFF"/>
        </w:rPr>
        <w:t>Meyer, J. C. (2000). Humor as a double-edged sword: Four functions of humor in communication.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Communication theory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10</w:t>
      </w:r>
      <w:r w:rsidRPr="008E5992">
        <w:rPr>
          <w:color w:val="222222"/>
          <w:sz w:val="24"/>
          <w:szCs w:val="24"/>
          <w:shd w:val="clear" w:color="auto" w:fill="FFFFFF"/>
        </w:rPr>
        <w:t>(3), 310-331.</w:t>
      </w:r>
    </w:p>
    <w:p w14:paraId="0385B135" w14:textId="56A43BE9" w:rsidR="00C930B5" w:rsidRPr="008E5992" w:rsidRDefault="00C930B5" w:rsidP="0047718A">
      <w:pPr>
        <w:tabs>
          <w:tab w:val="left" w:pos="284"/>
        </w:tabs>
        <w:ind w:left="680" w:hanging="680"/>
        <w:rPr>
          <w:sz w:val="24"/>
          <w:szCs w:val="24"/>
          <w:rtl/>
        </w:rPr>
      </w:pPr>
      <w:r w:rsidRPr="008E5992">
        <w:rPr>
          <w:sz w:val="24"/>
          <w:szCs w:val="24"/>
          <w:rtl/>
        </w:rPr>
        <w:t xml:space="preserve">זיו, א. (1990). </w:t>
      </w:r>
      <w:r w:rsidRPr="008E5992">
        <w:rPr>
          <w:sz w:val="24"/>
          <w:szCs w:val="24"/>
          <w:u w:val="single"/>
          <w:rtl/>
        </w:rPr>
        <w:t>הומור ואישיות</w:t>
      </w:r>
      <w:r w:rsidRPr="008E5992">
        <w:rPr>
          <w:sz w:val="24"/>
          <w:szCs w:val="24"/>
          <w:rtl/>
        </w:rPr>
        <w:t>. תל אביב: פפירוס. חלק שני: טכניקות, תכנים וסיטואציות של הומור, עמ' 83 – 103</w:t>
      </w:r>
      <w:r w:rsidR="008E5992">
        <w:rPr>
          <w:rFonts w:hint="cs"/>
          <w:sz w:val="24"/>
          <w:szCs w:val="24"/>
          <w:rtl/>
        </w:rPr>
        <w:t>.</w:t>
      </w:r>
    </w:p>
    <w:p w14:paraId="3832B350" w14:textId="77777777" w:rsidR="00C930B5" w:rsidRPr="008E5992" w:rsidRDefault="00C930B5" w:rsidP="00C930B5">
      <w:pPr>
        <w:rPr>
          <w:sz w:val="24"/>
          <w:szCs w:val="24"/>
          <w:u w:val="single"/>
          <w:rtl/>
        </w:rPr>
      </w:pPr>
    </w:p>
    <w:p w14:paraId="555CE73D" w14:textId="72E0DB41" w:rsidR="00C930B5" w:rsidRPr="008E5992" w:rsidRDefault="0047718A" w:rsidP="00C930B5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9.  </w:t>
      </w:r>
      <w:r w:rsidR="00C930B5" w:rsidRPr="008E5992">
        <w:rPr>
          <w:b/>
          <w:bCs/>
          <w:i/>
          <w:iCs/>
          <w:sz w:val="24"/>
          <w:szCs w:val="24"/>
          <w:u w:val="single"/>
          <w:rtl/>
        </w:rPr>
        <w:t>תקשורת בארגוני עבודה</w:t>
      </w:r>
    </w:p>
    <w:p w14:paraId="681FE22E" w14:textId="77777777" w:rsidR="00C930B5" w:rsidRPr="008E5992" w:rsidRDefault="00C930B5" w:rsidP="00C930B5">
      <w:pPr>
        <w:rPr>
          <w:b/>
          <w:bCs/>
          <w:i/>
          <w:iCs/>
          <w:sz w:val="24"/>
          <w:szCs w:val="24"/>
          <w:rtl/>
        </w:rPr>
      </w:pPr>
    </w:p>
    <w:p w14:paraId="2A34E271" w14:textId="77777777" w:rsidR="00C930B5" w:rsidRPr="008E5992" w:rsidRDefault="00C930B5" w:rsidP="00C930B5">
      <w:pPr>
        <w:bidi w:val="0"/>
        <w:ind w:left="680" w:hanging="680"/>
        <w:rPr>
          <w:sz w:val="24"/>
          <w:szCs w:val="24"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Audia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P. G., &amp; Locke, E. A. (2003). Benefiting from negative feedback.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Human Resource Management Review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13</w:t>
      </w:r>
      <w:r w:rsidRPr="008E5992">
        <w:rPr>
          <w:color w:val="222222"/>
          <w:sz w:val="24"/>
          <w:szCs w:val="24"/>
          <w:shd w:val="clear" w:color="auto" w:fill="FFFFFF"/>
        </w:rPr>
        <w:t>(4), 631-646.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2BB44626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color w:val="222222"/>
          <w:sz w:val="24"/>
          <w:szCs w:val="24"/>
          <w:shd w:val="clear" w:color="auto" w:fill="FFFFFF"/>
        </w:rPr>
        <w:t>Myers, K. K., Seibold, D. R., &amp; Park, H. S. (2011). Interpersonal communication in the workplace.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Handbook of interpersonal communication</w:t>
      </w:r>
      <w:r w:rsidRPr="008E5992">
        <w:rPr>
          <w:color w:val="222222"/>
          <w:sz w:val="24"/>
          <w:szCs w:val="24"/>
          <w:shd w:val="clear" w:color="auto" w:fill="FFFFFF"/>
        </w:rPr>
        <w:t>, 527-563.</w:t>
      </w:r>
    </w:p>
    <w:p w14:paraId="53A8E185" w14:textId="77777777" w:rsidR="00C930B5" w:rsidRPr="008E5992" w:rsidRDefault="00C930B5" w:rsidP="00C930B5">
      <w:pPr>
        <w:bidi w:val="0"/>
        <w:ind w:left="680" w:hanging="680"/>
        <w:rPr>
          <w:color w:val="222222"/>
          <w:sz w:val="24"/>
          <w:szCs w:val="24"/>
          <w:shd w:val="clear" w:color="auto" w:fill="FFFFFF"/>
        </w:rPr>
      </w:pPr>
      <w:r w:rsidRPr="008E5992">
        <w:rPr>
          <w:b/>
          <w:bCs/>
          <w:i/>
          <w:iCs/>
          <w:sz w:val="24"/>
          <w:szCs w:val="24"/>
          <w:rtl/>
        </w:rPr>
        <w:t xml:space="preserve">  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  <w:r w:rsidRPr="008E5992">
        <w:rPr>
          <w:color w:val="222222"/>
          <w:sz w:val="24"/>
          <w:szCs w:val="24"/>
          <w:shd w:val="clear" w:color="auto" w:fill="FFFFFF"/>
        </w:rPr>
        <w:t xml:space="preserve"> Michelson, G., Van </w:t>
      </w: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Iterson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A., &amp; Waddington, K. (2010). Gossip in organizations: Contexts, consequences, and controversies.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Group &amp; Organization Management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35</w:t>
      </w:r>
      <w:r w:rsidRPr="008E5992">
        <w:rPr>
          <w:color w:val="222222"/>
          <w:sz w:val="24"/>
          <w:szCs w:val="24"/>
          <w:shd w:val="clear" w:color="auto" w:fill="FFFFFF"/>
        </w:rPr>
        <w:t>(4), 371-390.</w:t>
      </w:r>
    </w:p>
    <w:p w14:paraId="0EE2D268" w14:textId="77777777" w:rsidR="00C930B5" w:rsidRPr="008E5992" w:rsidRDefault="00C930B5" w:rsidP="00C930B5">
      <w:pPr>
        <w:bidi w:val="0"/>
        <w:ind w:left="680" w:hanging="680"/>
        <w:rPr>
          <w:sz w:val="24"/>
          <w:szCs w:val="24"/>
          <w:rtl/>
        </w:rPr>
      </w:pPr>
      <w:proofErr w:type="spellStart"/>
      <w:r w:rsidRPr="008E5992">
        <w:rPr>
          <w:color w:val="222222"/>
          <w:sz w:val="24"/>
          <w:szCs w:val="24"/>
          <w:shd w:val="clear" w:color="auto" w:fill="FFFFFF"/>
        </w:rPr>
        <w:t>DeKay</w:t>
      </w:r>
      <w:proofErr w:type="spellEnd"/>
      <w:r w:rsidRPr="008E5992">
        <w:rPr>
          <w:color w:val="222222"/>
          <w:sz w:val="24"/>
          <w:szCs w:val="24"/>
          <w:shd w:val="clear" w:color="auto" w:fill="FFFFFF"/>
        </w:rPr>
        <w:t>, S. H. (2012). Interpersonal communication in the workplace: A largely unexplored region.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Business Communication Quarterly</w:t>
      </w:r>
      <w:r w:rsidRPr="008E5992">
        <w:rPr>
          <w:color w:val="222222"/>
          <w:sz w:val="24"/>
          <w:szCs w:val="24"/>
          <w:shd w:val="clear" w:color="auto" w:fill="FFFFFF"/>
        </w:rPr>
        <w:t>, </w:t>
      </w:r>
      <w:r w:rsidRPr="008E5992">
        <w:rPr>
          <w:i/>
          <w:iCs/>
          <w:color w:val="222222"/>
          <w:sz w:val="24"/>
          <w:szCs w:val="24"/>
          <w:shd w:val="clear" w:color="auto" w:fill="FFFFFF"/>
        </w:rPr>
        <w:t>75</w:t>
      </w:r>
      <w:r w:rsidRPr="008E5992">
        <w:rPr>
          <w:color w:val="222222"/>
          <w:sz w:val="24"/>
          <w:szCs w:val="24"/>
          <w:shd w:val="clear" w:color="auto" w:fill="FFFFFF"/>
        </w:rPr>
        <w:t>(4), 449-452.</w:t>
      </w:r>
      <w:r w:rsidRPr="008E5992">
        <w:rPr>
          <w:color w:val="222222"/>
          <w:sz w:val="24"/>
          <w:szCs w:val="24"/>
          <w:shd w:val="clear" w:color="auto" w:fill="FFFFFF"/>
          <w:rtl/>
        </w:rPr>
        <w:t>‏</w:t>
      </w:r>
    </w:p>
    <w:p w14:paraId="4E937034" w14:textId="37450E17" w:rsidR="005927B3" w:rsidRPr="00A844C8" w:rsidRDefault="005927B3">
      <w:pPr>
        <w:ind w:left="1610" w:right="1610"/>
        <w:jc w:val="center"/>
        <w:rPr>
          <w:b/>
          <w:sz w:val="30"/>
        </w:rPr>
      </w:pPr>
    </w:p>
    <w:sectPr w:rsidR="005927B3" w:rsidRPr="00A844C8">
      <w:footerReference w:type="default" r:id="rId13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6748" w14:textId="77777777" w:rsidR="006D7537" w:rsidRDefault="006D7537">
      <w:r>
        <w:separator/>
      </w:r>
    </w:p>
  </w:endnote>
  <w:endnote w:type="continuationSeparator" w:id="0">
    <w:p w14:paraId="18CC6B2C" w14:textId="77777777" w:rsidR="006D7537" w:rsidRDefault="006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4DFB" w14:textId="77777777" w:rsidR="00A85C02" w:rsidRDefault="00A85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D3A7" w14:textId="3BD25C5B" w:rsidR="005927B3" w:rsidRDefault="005927B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24DC" w14:textId="77777777" w:rsidR="00A85C02" w:rsidRDefault="00A85C0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E3DB" w14:textId="77777777" w:rsidR="005927B3" w:rsidRDefault="005927B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1D28" w14:textId="77777777" w:rsidR="006D7537" w:rsidRDefault="006D7537">
      <w:r>
        <w:separator/>
      </w:r>
    </w:p>
  </w:footnote>
  <w:footnote w:type="continuationSeparator" w:id="0">
    <w:p w14:paraId="2E7A94A4" w14:textId="77777777" w:rsidR="006D7537" w:rsidRDefault="006D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9AD5" w14:textId="77777777" w:rsidR="00A85C02" w:rsidRDefault="00A85C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523" w14:textId="77777777" w:rsidR="00A85C02" w:rsidRDefault="00A85C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608D" w14:textId="77777777" w:rsidR="00A85C02" w:rsidRDefault="00A85C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497"/>
    <w:multiLevelType w:val="hybridMultilevel"/>
    <w:tmpl w:val="468C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F1FFB"/>
    <w:multiLevelType w:val="hybridMultilevel"/>
    <w:tmpl w:val="4ADE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600"/>
    <w:multiLevelType w:val="hybridMultilevel"/>
    <w:tmpl w:val="A988574E"/>
    <w:lvl w:ilvl="0" w:tplc="1032CA26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27C05E3"/>
    <w:multiLevelType w:val="hybridMultilevel"/>
    <w:tmpl w:val="6BB2F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865"/>
    <w:multiLevelType w:val="hybridMultilevel"/>
    <w:tmpl w:val="64B8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50A6E"/>
    <w:multiLevelType w:val="hybridMultilevel"/>
    <w:tmpl w:val="857C61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3"/>
    <w:rsid w:val="00002A6F"/>
    <w:rsid w:val="00084DDD"/>
    <w:rsid w:val="00087FED"/>
    <w:rsid w:val="000B6A7A"/>
    <w:rsid w:val="000C3483"/>
    <w:rsid w:val="00155259"/>
    <w:rsid w:val="001A7B14"/>
    <w:rsid w:val="00227BE9"/>
    <w:rsid w:val="00231D54"/>
    <w:rsid w:val="00232DB2"/>
    <w:rsid w:val="00384245"/>
    <w:rsid w:val="003A46E2"/>
    <w:rsid w:val="00445B97"/>
    <w:rsid w:val="00474BEB"/>
    <w:rsid w:val="0047718A"/>
    <w:rsid w:val="004D4973"/>
    <w:rsid w:val="005927B3"/>
    <w:rsid w:val="00593DED"/>
    <w:rsid w:val="00595B13"/>
    <w:rsid w:val="0061556F"/>
    <w:rsid w:val="0064444E"/>
    <w:rsid w:val="00652BED"/>
    <w:rsid w:val="00672FC4"/>
    <w:rsid w:val="006B3D1C"/>
    <w:rsid w:val="006D2543"/>
    <w:rsid w:val="006D7504"/>
    <w:rsid w:val="006D7537"/>
    <w:rsid w:val="00756C5F"/>
    <w:rsid w:val="00784EFB"/>
    <w:rsid w:val="007B7A09"/>
    <w:rsid w:val="007D74D1"/>
    <w:rsid w:val="00845D31"/>
    <w:rsid w:val="0085415D"/>
    <w:rsid w:val="00874845"/>
    <w:rsid w:val="008E5992"/>
    <w:rsid w:val="00913522"/>
    <w:rsid w:val="0095177C"/>
    <w:rsid w:val="00952D22"/>
    <w:rsid w:val="00962F1A"/>
    <w:rsid w:val="009C4E72"/>
    <w:rsid w:val="009C7CD8"/>
    <w:rsid w:val="00A844C8"/>
    <w:rsid w:val="00A85C02"/>
    <w:rsid w:val="00B47671"/>
    <w:rsid w:val="00BE5DA8"/>
    <w:rsid w:val="00C247B6"/>
    <w:rsid w:val="00C66CF8"/>
    <w:rsid w:val="00C930B5"/>
    <w:rsid w:val="00CA5682"/>
    <w:rsid w:val="00DF37F1"/>
    <w:rsid w:val="00E13D1C"/>
    <w:rsid w:val="00E81F63"/>
    <w:rsid w:val="00E9672A"/>
    <w:rsid w:val="00EC5089"/>
    <w:rsid w:val="00F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47CD8"/>
  <w15:docId w15:val="{A4A25130-817C-4083-8717-488E0FE0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C02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85C02"/>
    <w:rPr>
      <w:rFonts w:ascii="David" w:eastAsia="David" w:hAnsi="David" w:cs="David"/>
      <w:lang w:bidi="he-IL"/>
    </w:rPr>
  </w:style>
  <w:style w:type="paragraph" w:styleId="a7">
    <w:name w:val="footer"/>
    <w:basedOn w:val="a"/>
    <w:link w:val="a8"/>
    <w:uiPriority w:val="99"/>
    <w:unhideWhenUsed/>
    <w:rsid w:val="00A85C02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85C02"/>
    <w:rPr>
      <w:rFonts w:ascii="David" w:eastAsia="David" w:hAnsi="David" w:cs="David"/>
      <w:lang w:bidi="he-IL"/>
    </w:rPr>
  </w:style>
  <w:style w:type="character" w:styleId="Hyperlink">
    <w:name w:val="Hyperlink"/>
    <w:basedOn w:val="a0"/>
    <w:uiPriority w:val="99"/>
    <w:semiHidden/>
    <w:unhideWhenUsed/>
    <w:rsid w:val="00C93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1102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המכללה האקדמית נתניה – בית הספר למשפטים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המכללה האקדמית נתניה – בית הספר למשפטים</dc:title>
  <dc:creator>Moshe</dc:creator>
  <cp:lastModifiedBy>Liat Kulik</cp:lastModifiedBy>
  <cp:revision>13</cp:revision>
  <dcterms:created xsi:type="dcterms:W3CDTF">2022-08-15T16:06:00Z</dcterms:created>
  <dcterms:modified xsi:type="dcterms:W3CDTF">2022-08-23T10:41:00Z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2022-08-15T00:00:00Z</vt:filetime>
  </property>
</Properties>
</file>