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B1F6" w14:textId="77777777" w:rsidR="00687D9D" w:rsidRPr="00687D9D" w:rsidRDefault="00687D9D" w:rsidP="00687D9D">
      <w:pPr>
        <w:spacing w:after="0" w:line="240" w:lineRule="auto"/>
        <w:jc w:val="center"/>
        <w:rPr>
          <w:rFonts w:ascii="David" w:eastAsia="Times New Roman" w:hAnsi="David"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077"/>
        <w:gridCol w:w="2069"/>
        <w:gridCol w:w="2070"/>
      </w:tblGrid>
      <w:tr w:rsidR="00687D9D" w:rsidRPr="00687D9D" w14:paraId="351FA0D1" w14:textId="77777777" w:rsidTr="00481F9A">
        <w:tc>
          <w:tcPr>
            <w:tcW w:w="2130" w:type="dxa"/>
            <w:shd w:val="clear" w:color="auto" w:fill="auto"/>
          </w:tcPr>
          <w:p w14:paraId="2BC9E7E3"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שם הקורס בעברית</w:t>
            </w:r>
          </w:p>
        </w:tc>
        <w:tc>
          <w:tcPr>
            <w:tcW w:w="6392" w:type="dxa"/>
            <w:gridSpan w:val="3"/>
            <w:shd w:val="clear" w:color="auto" w:fill="auto"/>
          </w:tcPr>
          <w:p w14:paraId="7BD1A7CF" w14:textId="4AF7A633" w:rsidR="00687D9D" w:rsidRPr="00687D9D" w:rsidRDefault="00687D9D" w:rsidP="00687D9D">
            <w:pPr>
              <w:spacing w:after="0" w:line="240" w:lineRule="auto"/>
              <w:jc w:val="center"/>
              <w:rPr>
                <w:rFonts w:ascii="David" w:eastAsia="Times New Roman" w:hAnsi="David" w:cs="David"/>
                <w:b/>
                <w:bCs/>
                <w:sz w:val="24"/>
                <w:szCs w:val="24"/>
                <w:rtl/>
              </w:rPr>
            </w:pPr>
            <w:r w:rsidRPr="00B6312F">
              <w:rPr>
                <w:rFonts w:ascii="David" w:eastAsia="Times New Roman" w:hAnsi="David" w:cs="David"/>
                <w:b/>
                <w:bCs/>
                <w:sz w:val="24"/>
                <w:szCs w:val="24"/>
                <w:rtl/>
              </w:rPr>
              <w:t>אסטרטגיה שיווקית</w:t>
            </w:r>
          </w:p>
        </w:tc>
      </w:tr>
      <w:tr w:rsidR="00687D9D" w:rsidRPr="00687D9D" w14:paraId="1AC66554" w14:textId="77777777" w:rsidTr="00481F9A">
        <w:tc>
          <w:tcPr>
            <w:tcW w:w="2130" w:type="dxa"/>
            <w:shd w:val="clear" w:color="auto" w:fill="auto"/>
          </w:tcPr>
          <w:p w14:paraId="19694C11"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שם הקורס באנגלית</w:t>
            </w:r>
          </w:p>
        </w:tc>
        <w:tc>
          <w:tcPr>
            <w:tcW w:w="6392" w:type="dxa"/>
            <w:gridSpan w:val="3"/>
            <w:shd w:val="clear" w:color="auto" w:fill="auto"/>
          </w:tcPr>
          <w:p w14:paraId="7797EF5B" w14:textId="77777777" w:rsidR="00687D9D" w:rsidRPr="00687D9D" w:rsidRDefault="00687D9D" w:rsidP="00687D9D">
            <w:pPr>
              <w:spacing w:after="0" w:line="240" w:lineRule="auto"/>
              <w:jc w:val="center"/>
              <w:rPr>
                <w:rFonts w:ascii="David" w:eastAsia="Times New Roman" w:hAnsi="David" w:cs="David"/>
                <w:b/>
                <w:bCs/>
                <w:sz w:val="24"/>
                <w:szCs w:val="24"/>
                <w:rtl/>
              </w:rPr>
            </w:pPr>
          </w:p>
        </w:tc>
      </w:tr>
      <w:tr w:rsidR="00687D9D" w:rsidRPr="00687D9D" w14:paraId="66D46B8B" w14:textId="77777777" w:rsidTr="00481F9A">
        <w:tc>
          <w:tcPr>
            <w:tcW w:w="2130" w:type="dxa"/>
            <w:shd w:val="clear" w:color="auto" w:fill="auto"/>
          </w:tcPr>
          <w:p w14:paraId="482A1750" w14:textId="77777777" w:rsidR="00687D9D" w:rsidRPr="00687D9D" w:rsidRDefault="00687D9D" w:rsidP="00687D9D">
            <w:pPr>
              <w:spacing w:after="0" w:line="240" w:lineRule="auto"/>
              <w:jc w:val="center"/>
              <w:rPr>
                <w:rFonts w:ascii="David" w:eastAsia="Times New Roman" w:hAnsi="David" w:cs="David"/>
                <w:b/>
                <w:bCs/>
                <w:sz w:val="24"/>
                <w:szCs w:val="24"/>
                <w:rtl/>
              </w:rPr>
            </w:pPr>
          </w:p>
        </w:tc>
        <w:tc>
          <w:tcPr>
            <w:tcW w:w="2130" w:type="dxa"/>
            <w:shd w:val="clear" w:color="auto" w:fill="auto"/>
          </w:tcPr>
          <w:p w14:paraId="11CD4310" w14:textId="0876A15E"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תשפ"</w:t>
            </w:r>
            <w:r w:rsidRPr="00B6312F">
              <w:rPr>
                <w:rFonts w:ascii="David" w:eastAsia="Times New Roman" w:hAnsi="David" w:cs="David"/>
                <w:b/>
                <w:bCs/>
                <w:sz w:val="24"/>
                <w:szCs w:val="24"/>
                <w:rtl/>
              </w:rPr>
              <w:t>ב</w:t>
            </w:r>
          </w:p>
        </w:tc>
        <w:tc>
          <w:tcPr>
            <w:tcW w:w="2131" w:type="dxa"/>
            <w:shd w:val="clear" w:color="auto" w:fill="auto"/>
          </w:tcPr>
          <w:p w14:paraId="0A927EFA" w14:textId="64AC2740"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 xml:space="preserve">תואר </w:t>
            </w:r>
            <w:r w:rsidRPr="00B6312F">
              <w:rPr>
                <w:rFonts w:ascii="David" w:eastAsia="Times New Roman" w:hAnsi="David" w:cs="David"/>
                <w:b/>
                <w:bCs/>
                <w:sz w:val="24"/>
                <w:szCs w:val="24"/>
                <w:rtl/>
              </w:rPr>
              <w:t>שני</w:t>
            </w:r>
          </w:p>
        </w:tc>
        <w:tc>
          <w:tcPr>
            <w:tcW w:w="2131" w:type="dxa"/>
            <w:shd w:val="clear" w:color="auto" w:fill="auto"/>
          </w:tcPr>
          <w:p w14:paraId="311DFF35"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קורס חובה</w:t>
            </w:r>
          </w:p>
        </w:tc>
      </w:tr>
    </w:tbl>
    <w:p w14:paraId="7E2EA4C9" w14:textId="77777777" w:rsidR="00687D9D" w:rsidRPr="00687D9D" w:rsidRDefault="00687D9D" w:rsidP="00687D9D">
      <w:pPr>
        <w:spacing w:after="0" w:line="240" w:lineRule="auto"/>
        <w:jc w:val="center"/>
        <w:rPr>
          <w:rFonts w:ascii="David" w:eastAsia="Times New Roman" w:hAnsi="David"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786"/>
        <w:gridCol w:w="2509"/>
        <w:gridCol w:w="1490"/>
      </w:tblGrid>
      <w:tr w:rsidR="00687D9D" w:rsidRPr="00687D9D" w14:paraId="4D08138A" w14:textId="77777777" w:rsidTr="00481F9A">
        <w:tc>
          <w:tcPr>
            <w:tcW w:w="2606" w:type="dxa"/>
            <w:shd w:val="clear" w:color="auto" w:fill="auto"/>
          </w:tcPr>
          <w:p w14:paraId="5E74A56F" w14:textId="77777777" w:rsidR="00687D9D" w:rsidRPr="00687D9D" w:rsidRDefault="00687D9D" w:rsidP="00687D9D">
            <w:pPr>
              <w:spacing w:after="0" w:line="240" w:lineRule="auto"/>
              <w:jc w:val="center"/>
              <w:rPr>
                <w:rFonts w:ascii="David" w:eastAsia="Times New Roman" w:hAnsi="David" w:cs="David"/>
                <w:b/>
                <w:bCs/>
                <w:sz w:val="24"/>
                <w:szCs w:val="24"/>
                <w:rtl/>
              </w:rPr>
            </w:pPr>
          </w:p>
        </w:tc>
        <w:tc>
          <w:tcPr>
            <w:tcW w:w="1841" w:type="dxa"/>
            <w:shd w:val="clear" w:color="auto" w:fill="auto"/>
          </w:tcPr>
          <w:p w14:paraId="3BFB7B40"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משרד</w:t>
            </w:r>
          </w:p>
        </w:tc>
        <w:tc>
          <w:tcPr>
            <w:tcW w:w="2554" w:type="dxa"/>
            <w:shd w:val="clear" w:color="auto" w:fill="auto"/>
          </w:tcPr>
          <w:p w14:paraId="39B41D9E"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מייל</w:t>
            </w:r>
          </w:p>
        </w:tc>
        <w:tc>
          <w:tcPr>
            <w:tcW w:w="1521" w:type="dxa"/>
            <w:shd w:val="clear" w:color="auto" w:fill="auto"/>
          </w:tcPr>
          <w:p w14:paraId="4DE1084B"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שעת קבלה</w:t>
            </w:r>
          </w:p>
        </w:tc>
      </w:tr>
      <w:tr w:rsidR="00687D9D" w:rsidRPr="00687D9D" w14:paraId="39189DD5" w14:textId="77777777" w:rsidTr="00481F9A">
        <w:tc>
          <w:tcPr>
            <w:tcW w:w="2606" w:type="dxa"/>
            <w:shd w:val="clear" w:color="auto" w:fill="auto"/>
          </w:tcPr>
          <w:p w14:paraId="49E27D5C" w14:textId="7AA18488" w:rsidR="00687D9D" w:rsidRPr="00687D9D" w:rsidRDefault="00687D9D" w:rsidP="00687D9D">
            <w:pPr>
              <w:spacing w:after="0" w:line="240" w:lineRule="auto"/>
              <w:jc w:val="center"/>
              <w:rPr>
                <w:rFonts w:ascii="David" w:eastAsia="Times New Roman" w:hAnsi="David" w:cs="David"/>
                <w:b/>
                <w:bCs/>
                <w:sz w:val="24"/>
                <w:szCs w:val="24"/>
                <w:rtl/>
              </w:rPr>
            </w:pPr>
            <w:r w:rsidRPr="00B6312F">
              <w:rPr>
                <w:rFonts w:ascii="David" w:eastAsia="Times New Roman" w:hAnsi="David" w:cs="David"/>
                <w:b/>
                <w:bCs/>
                <w:sz w:val="24"/>
                <w:szCs w:val="24"/>
                <w:rtl/>
              </w:rPr>
              <w:t>ד"ר אמיר פלינט גור</w:t>
            </w:r>
          </w:p>
        </w:tc>
        <w:tc>
          <w:tcPr>
            <w:tcW w:w="1841" w:type="dxa"/>
            <w:shd w:val="clear" w:color="auto" w:fill="auto"/>
          </w:tcPr>
          <w:p w14:paraId="10EFFF4D" w14:textId="77777777" w:rsidR="00687D9D" w:rsidRPr="00687D9D" w:rsidRDefault="00687D9D" w:rsidP="00687D9D">
            <w:pPr>
              <w:spacing w:after="0" w:line="240" w:lineRule="auto"/>
              <w:jc w:val="center"/>
              <w:rPr>
                <w:rFonts w:ascii="David" w:eastAsia="Times New Roman" w:hAnsi="David" w:cs="David"/>
                <w:sz w:val="24"/>
                <w:szCs w:val="24"/>
                <w:rtl/>
              </w:rPr>
            </w:pPr>
          </w:p>
        </w:tc>
        <w:tc>
          <w:tcPr>
            <w:tcW w:w="2554" w:type="dxa"/>
            <w:shd w:val="clear" w:color="auto" w:fill="auto"/>
          </w:tcPr>
          <w:p w14:paraId="6221EE62" w14:textId="2BA9F7B8" w:rsidR="00687D9D" w:rsidRPr="00687D9D" w:rsidRDefault="00687D9D" w:rsidP="00687D9D">
            <w:pPr>
              <w:spacing w:after="0" w:line="240" w:lineRule="auto"/>
              <w:jc w:val="center"/>
              <w:rPr>
                <w:rFonts w:ascii="David" w:eastAsia="Times New Roman" w:hAnsi="David" w:cs="David"/>
                <w:sz w:val="24"/>
                <w:szCs w:val="24"/>
              </w:rPr>
            </w:pPr>
            <w:r w:rsidRPr="00B6312F">
              <w:rPr>
                <w:rFonts w:ascii="David" w:eastAsia="Times New Roman" w:hAnsi="David" w:cs="David"/>
                <w:sz w:val="24"/>
                <w:szCs w:val="24"/>
              </w:rPr>
              <w:t>amir@tvn.co.il</w:t>
            </w:r>
          </w:p>
        </w:tc>
        <w:tc>
          <w:tcPr>
            <w:tcW w:w="1521" w:type="dxa"/>
            <w:shd w:val="clear" w:color="auto" w:fill="auto"/>
          </w:tcPr>
          <w:p w14:paraId="4AC31565" w14:textId="66327B2B" w:rsidR="00687D9D" w:rsidRPr="00687D9D" w:rsidRDefault="00687D9D" w:rsidP="00687D9D">
            <w:pPr>
              <w:spacing w:after="0" w:line="240" w:lineRule="auto"/>
              <w:jc w:val="center"/>
              <w:rPr>
                <w:rFonts w:ascii="David" w:eastAsia="Times New Roman" w:hAnsi="David" w:cs="David"/>
                <w:sz w:val="24"/>
                <w:szCs w:val="24"/>
              </w:rPr>
            </w:pPr>
            <w:r w:rsidRPr="00B6312F">
              <w:rPr>
                <w:rFonts w:ascii="David" w:eastAsia="Times New Roman" w:hAnsi="David" w:cs="David"/>
                <w:sz w:val="24"/>
                <w:szCs w:val="24"/>
                <w:rtl/>
              </w:rPr>
              <w:t>בתיאום מראש</w:t>
            </w:r>
          </w:p>
        </w:tc>
      </w:tr>
      <w:tr w:rsidR="00687D9D" w:rsidRPr="00687D9D" w14:paraId="0A9683C1" w14:textId="77777777" w:rsidTr="00481F9A">
        <w:tc>
          <w:tcPr>
            <w:tcW w:w="2606" w:type="dxa"/>
            <w:shd w:val="clear" w:color="auto" w:fill="auto"/>
          </w:tcPr>
          <w:p w14:paraId="006BBB91" w14:textId="77777777" w:rsidR="00687D9D" w:rsidRPr="00687D9D" w:rsidRDefault="00687D9D" w:rsidP="00687D9D">
            <w:pPr>
              <w:spacing w:after="0" w:line="240" w:lineRule="auto"/>
              <w:jc w:val="center"/>
              <w:rPr>
                <w:rFonts w:ascii="David" w:eastAsia="Times New Roman" w:hAnsi="David" w:cs="David"/>
                <w:b/>
                <w:bCs/>
                <w:sz w:val="24"/>
                <w:szCs w:val="24"/>
                <w:rtl/>
              </w:rPr>
            </w:pPr>
          </w:p>
        </w:tc>
        <w:tc>
          <w:tcPr>
            <w:tcW w:w="1841" w:type="dxa"/>
            <w:shd w:val="clear" w:color="auto" w:fill="auto"/>
          </w:tcPr>
          <w:p w14:paraId="40074C38" w14:textId="77777777" w:rsidR="00687D9D" w:rsidRPr="00687D9D" w:rsidRDefault="00687D9D" w:rsidP="00687D9D">
            <w:pPr>
              <w:spacing w:after="0" w:line="240" w:lineRule="auto"/>
              <w:jc w:val="center"/>
              <w:rPr>
                <w:rFonts w:ascii="David" w:eastAsia="Times New Roman" w:hAnsi="David" w:cs="David"/>
                <w:sz w:val="24"/>
                <w:szCs w:val="24"/>
                <w:rtl/>
              </w:rPr>
            </w:pPr>
          </w:p>
        </w:tc>
        <w:tc>
          <w:tcPr>
            <w:tcW w:w="2554" w:type="dxa"/>
            <w:shd w:val="clear" w:color="auto" w:fill="auto"/>
          </w:tcPr>
          <w:p w14:paraId="7303D011" w14:textId="77777777" w:rsidR="00687D9D" w:rsidRPr="00687D9D" w:rsidRDefault="00687D9D" w:rsidP="00687D9D">
            <w:pPr>
              <w:spacing w:after="0" w:line="240" w:lineRule="auto"/>
              <w:jc w:val="center"/>
              <w:rPr>
                <w:rFonts w:ascii="David" w:eastAsia="Times New Roman" w:hAnsi="David" w:cs="David"/>
                <w:sz w:val="24"/>
                <w:szCs w:val="24"/>
                <w:rtl/>
              </w:rPr>
            </w:pPr>
          </w:p>
        </w:tc>
        <w:tc>
          <w:tcPr>
            <w:tcW w:w="1521" w:type="dxa"/>
            <w:shd w:val="clear" w:color="auto" w:fill="auto"/>
          </w:tcPr>
          <w:p w14:paraId="74520BAB" w14:textId="77777777" w:rsidR="00687D9D" w:rsidRPr="00687D9D" w:rsidRDefault="00687D9D" w:rsidP="00687D9D">
            <w:pPr>
              <w:spacing w:after="0" w:line="240" w:lineRule="auto"/>
              <w:jc w:val="center"/>
              <w:rPr>
                <w:rFonts w:ascii="David" w:eastAsia="Times New Roman" w:hAnsi="David" w:cs="David"/>
                <w:sz w:val="24"/>
                <w:szCs w:val="24"/>
                <w:rtl/>
              </w:rPr>
            </w:pPr>
          </w:p>
        </w:tc>
      </w:tr>
    </w:tbl>
    <w:p w14:paraId="4B49347E" w14:textId="77777777" w:rsidR="00687D9D" w:rsidRPr="00687D9D" w:rsidRDefault="00687D9D" w:rsidP="00687D9D">
      <w:pPr>
        <w:spacing w:after="0" w:line="240" w:lineRule="auto"/>
        <w:jc w:val="center"/>
        <w:rPr>
          <w:rFonts w:ascii="David" w:eastAsia="Times New Roman" w:hAnsi="David" w:cs="David"/>
          <w:sz w:val="24"/>
          <w:szCs w:val="24"/>
          <w:rtl/>
        </w:rPr>
      </w:pPr>
    </w:p>
    <w:p w14:paraId="526F9426" w14:textId="77777777" w:rsidR="00687D9D" w:rsidRPr="00687D9D" w:rsidRDefault="00687D9D" w:rsidP="00687D9D">
      <w:pPr>
        <w:spacing w:after="0" w:line="240" w:lineRule="auto"/>
        <w:jc w:val="center"/>
        <w:rPr>
          <w:rFonts w:ascii="David" w:eastAsia="Times New Roman" w:hAnsi="David" w:cs="David"/>
          <w:b/>
          <w:bCs/>
          <w:sz w:val="24"/>
          <w:szCs w:val="24"/>
          <w:u w:val="single"/>
          <w:rtl/>
        </w:rPr>
      </w:pPr>
      <w:r w:rsidRPr="00687D9D">
        <w:rPr>
          <w:rFonts w:ascii="David" w:eastAsia="Times New Roman" w:hAnsi="David" w:cs="David"/>
          <w:b/>
          <w:bCs/>
          <w:sz w:val="24"/>
          <w:szCs w:val="24"/>
          <w:u w:val="single"/>
          <w:rtl/>
        </w:rPr>
        <w:t>פרטי הקורס</w:t>
      </w:r>
    </w:p>
    <w:p w14:paraId="1D934F7F" w14:textId="77777777" w:rsidR="00687D9D" w:rsidRPr="00687D9D" w:rsidRDefault="00687D9D" w:rsidP="00687D9D">
      <w:pPr>
        <w:spacing w:after="0" w:line="240" w:lineRule="auto"/>
        <w:jc w:val="center"/>
        <w:rPr>
          <w:rFonts w:ascii="David" w:eastAsia="Times New Roman" w:hAnsi="David"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150"/>
      </w:tblGrid>
      <w:tr w:rsidR="00687D9D" w:rsidRPr="00687D9D" w14:paraId="5AAD116A" w14:textId="77777777" w:rsidTr="00481F9A">
        <w:tc>
          <w:tcPr>
            <w:tcW w:w="2181" w:type="dxa"/>
            <w:shd w:val="clear" w:color="auto" w:fill="auto"/>
          </w:tcPr>
          <w:p w14:paraId="375D7EDF"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דרישות קדם</w:t>
            </w:r>
          </w:p>
        </w:tc>
        <w:tc>
          <w:tcPr>
            <w:tcW w:w="6341" w:type="dxa"/>
            <w:shd w:val="clear" w:color="auto" w:fill="auto"/>
          </w:tcPr>
          <w:p w14:paraId="18D912A5" w14:textId="15CC4C6D" w:rsidR="00687D9D" w:rsidRPr="00687D9D" w:rsidRDefault="00687D9D" w:rsidP="00687D9D">
            <w:pPr>
              <w:spacing w:after="0" w:line="240" w:lineRule="auto"/>
              <w:rPr>
                <w:rFonts w:ascii="David" w:eastAsia="Times New Roman" w:hAnsi="David" w:cs="David"/>
                <w:sz w:val="24"/>
                <w:szCs w:val="24"/>
                <w:rtl/>
              </w:rPr>
            </w:pPr>
            <w:r w:rsidRPr="00B6312F">
              <w:rPr>
                <w:rFonts w:ascii="David" w:eastAsia="Times New Roman" w:hAnsi="David" w:cs="David"/>
                <w:sz w:val="24"/>
                <w:szCs w:val="24"/>
                <w:rtl/>
              </w:rPr>
              <w:t>אין</w:t>
            </w:r>
          </w:p>
        </w:tc>
      </w:tr>
      <w:tr w:rsidR="00687D9D" w:rsidRPr="00687D9D" w14:paraId="267B5F0D" w14:textId="77777777" w:rsidTr="00481F9A">
        <w:tc>
          <w:tcPr>
            <w:tcW w:w="2181" w:type="dxa"/>
            <w:shd w:val="clear" w:color="auto" w:fill="auto"/>
          </w:tcPr>
          <w:p w14:paraId="3C8208AB"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מטרות\יעדי הקורס</w:t>
            </w:r>
          </w:p>
        </w:tc>
        <w:tc>
          <w:tcPr>
            <w:tcW w:w="6341" w:type="dxa"/>
            <w:shd w:val="clear" w:color="auto" w:fill="auto"/>
          </w:tcPr>
          <w:p w14:paraId="639356F2" w14:textId="77777777" w:rsidR="00687D9D" w:rsidRPr="00687D9D" w:rsidRDefault="00687D9D" w:rsidP="00687D9D">
            <w:pPr>
              <w:spacing w:after="0" w:line="240" w:lineRule="auto"/>
              <w:rPr>
                <w:rFonts w:ascii="David" w:eastAsia="Times New Roman" w:hAnsi="David" w:cs="David"/>
                <w:sz w:val="24"/>
                <w:szCs w:val="24"/>
                <w:rtl/>
              </w:rPr>
            </w:pPr>
          </w:p>
        </w:tc>
      </w:tr>
      <w:tr w:rsidR="00687D9D" w:rsidRPr="00687D9D" w14:paraId="3375974B" w14:textId="77777777" w:rsidTr="00481F9A">
        <w:tc>
          <w:tcPr>
            <w:tcW w:w="2181" w:type="dxa"/>
            <w:shd w:val="clear" w:color="auto" w:fill="auto"/>
          </w:tcPr>
          <w:p w14:paraId="65FA4718"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מבנה הקורס</w:t>
            </w:r>
          </w:p>
        </w:tc>
        <w:tc>
          <w:tcPr>
            <w:tcW w:w="6341" w:type="dxa"/>
            <w:shd w:val="clear" w:color="auto" w:fill="auto"/>
          </w:tcPr>
          <w:p w14:paraId="4D864799" w14:textId="24F3F572" w:rsidR="00687D9D" w:rsidRPr="00687D9D" w:rsidRDefault="00826AD5" w:rsidP="00687D9D">
            <w:pPr>
              <w:spacing w:after="0" w:line="240" w:lineRule="auto"/>
              <w:rPr>
                <w:rFonts w:ascii="David" w:eastAsia="Times New Roman" w:hAnsi="David" w:cs="David"/>
                <w:sz w:val="24"/>
                <w:szCs w:val="24"/>
                <w:rtl/>
              </w:rPr>
            </w:pPr>
            <w:r w:rsidRPr="00B6312F">
              <w:rPr>
                <w:rFonts w:ascii="David" w:eastAsia="Times New Roman" w:hAnsi="David" w:cs="David"/>
                <w:sz w:val="24"/>
                <w:szCs w:val="24"/>
                <w:rtl/>
              </w:rPr>
              <w:t>הקורס מורכב מהרצאות שבועיות באורך שעתיים</w:t>
            </w:r>
          </w:p>
        </w:tc>
      </w:tr>
      <w:tr w:rsidR="00687D9D" w:rsidRPr="00687D9D" w14:paraId="4741D4E4" w14:textId="77777777" w:rsidTr="00481F9A">
        <w:tc>
          <w:tcPr>
            <w:tcW w:w="2181" w:type="dxa"/>
            <w:shd w:val="clear" w:color="auto" w:fill="auto"/>
          </w:tcPr>
          <w:p w14:paraId="4139E280"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דרישות הקורס</w:t>
            </w:r>
          </w:p>
        </w:tc>
        <w:tc>
          <w:tcPr>
            <w:tcW w:w="6341" w:type="dxa"/>
            <w:shd w:val="clear" w:color="auto" w:fill="auto"/>
          </w:tcPr>
          <w:p w14:paraId="64B32290" w14:textId="79483D19" w:rsidR="00687D9D" w:rsidRPr="00687D9D" w:rsidRDefault="00687D9D" w:rsidP="00687D9D">
            <w:pPr>
              <w:spacing w:after="0" w:line="240" w:lineRule="auto"/>
              <w:ind w:left="360"/>
              <w:rPr>
                <w:rFonts w:ascii="David" w:eastAsia="Times New Roman" w:hAnsi="David" w:cs="David"/>
                <w:sz w:val="24"/>
                <w:szCs w:val="24"/>
                <w:rtl/>
              </w:rPr>
            </w:pPr>
            <w:r w:rsidRPr="00B6312F">
              <w:rPr>
                <w:rFonts w:ascii="David" w:eastAsia="Times New Roman" w:hAnsi="David" w:cs="David"/>
                <w:sz w:val="24"/>
                <w:szCs w:val="24"/>
                <w:rtl/>
              </w:rPr>
              <w:t xml:space="preserve">השתתפות </w:t>
            </w:r>
          </w:p>
        </w:tc>
      </w:tr>
      <w:tr w:rsidR="00687D9D" w:rsidRPr="00687D9D" w14:paraId="1BA6DED6" w14:textId="77777777" w:rsidTr="00481F9A">
        <w:tc>
          <w:tcPr>
            <w:tcW w:w="2181" w:type="dxa"/>
            <w:shd w:val="clear" w:color="auto" w:fill="auto"/>
          </w:tcPr>
          <w:p w14:paraId="4390FBDB"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הרכב הציון</w:t>
            </w:r>
          </w:p>
        </w:tc>
        <w:tc>
          <w:tcPr>
            <w:tcW w:w="6341" w:type="dxa"/>
            <w:shd w:val="clear" w:color="auto" w:fill="auto"/>
          </w:tcPr>
          <w:p w14:paraId="2C1ACFE9" w14:textId="10F547FA" w:rsidR="00687D9D" w:rsidRPr="00687D9D" w:rsidRDefault="00687D9D" w:rsidP="00687D9D">
            <w:pPr>
              <w:spacing w:after="0" w:line="240" w:lineRule="auto"/>
              <w:rPr>
                <w:rFonts w:ascii="David" w:eastAsia="Times New Roman" w:hAnsi="David" w:cs="David"/>
                <w:sz w:val="24"/>
                <w:szCs w:val="24"/>
                <w:rtl/>
              </w:rPr>
            </w:pPr>
            <w:r w:rsidRPr="00B6312F">
              <w:rPr>
                <w:rFonts w:ascii="David" w:eastAsia="Times New Roman" w:hAnsi="David" w:cs="David"/>
                <w:sz w:val="24"/>
                <w:szCs w:val="24"/>
                <w:rtl/>
              </w:rPr>
              <w:t>בחינה 100%</w:t>
            </w:r>
          </w:p>
        </w:tc>
      </w:tr>
      <w:tr w:rsidR="00687D9D" w:rsidRPr="00687D9D" w14:paraId="5FE9DE4F" w14:textId="77777777" w:rsidTr="00481F9A">
        <w:tc>
          <w:tcPr>
            <w:tcW w:w="2181" w:type="dxa"/>
            <w:shd w:val="clear" w:color="auto" w:fill="auto"/>
          </w:tcPr>
          <w:p w14:paraId="6BBF6C44"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נוכחות</w:t>
            </w:r>
          </w:p>
        </w:tc>
        <w:tc>
          <w:tcPr>
            <w:tcW w:w="6341" w:type="dxa"/>
            <w:shd w:val="clear" w:color="auto" w:fill="auto"/>
          </w:tcPr>
          <w:p w14:paraId="29A95335" w14:textId="4BEA5B59" w:rsidR="00687D9D" w:rsidRPr="00687D9D" w:rsidRDefault="00826AD5" w:rsidP="00687D9D">
            <w:pPr>
              <w:spacing w:after="0" w:line="240" w:lineRule="auto"/>
              <w:rPr>
                <w:rFonts w:ascii="David" w:eastAsia="Times New Roman" w:hAnsi="David" w:cs="David"/>
                <w:sz w:val="24"/>
                <w:szCs w:val="24"/>
                <w:rtl/>
              </w:rPr>
            </w:pPr>
            <w:r w:rsidRPr="00B6312F">
              <w:rPr>
                <w:rFonts w:ascii="David" w:eastAsia="Times New Roman" w:hAnsi="David" w:cs="David"/>
                <w:sz w:val="24"/>
                <w:szCs w:val="24"/>
                <w:rtl/>
              </w:rPr>
              <w:t>נוכחות חובה</w:t>
            </w:r>
          </w:p>
        </w:tc>
      </w:tr>
      <w:tr w:rsidR="00687D9D" w:rsidRPr="00687D9D" w14:paraId="3DF7008A" w14:textId="77777777" w:rsidTr="00481F9A">
        <w:tc>
          <w:tcPr>
            <w:tcW w:w="2181" w:type="dxa"/>
            <w:shd w:val="clear" w:color="auto" w:fill="auto"/>
          </w:tcPr>
          <w:p w14:paraId="2A027689" w14:textId="77777777" w:rsidR="00687D9D" w:rsidRPr="00687D9D" w:rsidRDefault="00687D9D"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תוצרי למידה</w:t>
            </w:r>
          </w:p>
        </w:tc>
        <w:tc>
          <w:tcPr>
            <w:tcW w:w="6341" w:type="dxa"/>
            <w:shd w:val="clear" w:color="auto" w:fill="auto"/>
          </w:tcPr>
          <w:p w14:paraId="3B8A2695" w14:textId="53C496EF" w:rsidR="00687D9D" w:rsidRPr="00687D9D" w:rsidRDefault="00687D9D" w:rsidP="00687D9D">
            <w:pPr>
              <w:spacing w:after="0" w:line="240" w:lineRule="auto"/>
              <w:rPr>
                <w:rFonts w:ascii="David" w:eastAsia="Times New Roman" w:hAnsi="David" w:cs="David"/>
                <w:sz w:val="24"/>
                <w:szCs w:val="24"/>
                <w:rtl/>
              </w:rPr>
            </w:pPr>
            <w:r w:rsidRPr="00B6312F">
              <w:rPr>
                <w:rFonts w:ascii="David" w:eastAsia="Times New Roman" w:hAnsi="David" w:cs="David"/>
                <w:sz w:val="24"/>
                <w:szCs w:val="24"/>
                <w:rtl/>
              </w:rPr>
              <w:t xml:space="preserve">הקורס יקנה למשתתפים ידע והיכרות עם תפישות מודרניות ועם תהליכים מתקדמים בעולם השיווקי הנוכחי.  כמן כן ילמדו המשתתפים כלים מבוססי תיאוריה אקדמית ופרקטיקה מעשית לניהול ארגוני בסביבות ובחברות המפעילות עובדי קו ראשון מול קהל לקוחות פנימי וחיצוני.   </w:t>
            </w:r>
          </w:p>
        </w:tc>
      </w:tr>
    </w:tbl>
    <w:p w14:paraId="47DC82E0" w14:textId="77777777" w:rsidR="00687D9D" w:rsidRPr="00687D9D" w:rsidRDefault="00687D9D" w:rsidP="00687D9D">
      <w:pPr>
        <w:spacing w:after="0" w:line="240" w:lineRule="auto"/>
        <w:rPr>
          <w:rFonts w:ascii="David" w:eastAsia="Times New Roman" w:hAnsi="David" w:cs="David"/>
          <w:sz w:val="24"/>
          <w:szCs w:val="24"/>
          <w:rtl/>
        </w:rPr>
      </w:pPr>
    </w:p>
    <w:p w14:paraId="7195B5EC" w14:textId="77777777" w:rsidR="00687D9D" w:rsidRPr="00687D9D" w:rsidRDefault="00687D9D" w:rsidP="00687D9D">
      <w:pPr>
        <w:spacing w:after="0" w:line="240" w:lineRule="auto"/>
        <w:rPr>
          <w:rFonts w:ascii="David" w:eastAsia="Times New Roman" w:hAnsi="David" w:cs="David"/>
          <w:sz w:val="24"/>
          <w:szCs w:val="24"/>
          <w:rtl/>
        </w:rPr>
      </w:pPr>
    </w:p>
    <w:p w14:paraId="476C738C" w14:textId="3489E1F4" w:rsidR="00687D9D" w:rsidRPr="00687D9D" w:rsidRDefault="00687D9D" w:rsidP="00826AD5">
      <w:pPr>
        <w:spacing w:after="0" w:line="240" w:lineRule="auto"/>
        <w:jc w:val="center"/>
        <w:rPr>
          <w:rFonts w:ascii="David" w:eastAsia="Times New Roman" w:hAnsi="David" w:cs="David"/>
          <w:b/>
          <w:bCs/>
          <w:sz w:val="24"/>
          <w:szCs w:val="24"/>
          <w:u w:val="single"/>
          <w:rtl/>
        </w:rPr>
      </w:pPr>
      <w:r w:rsidRPr="00687D9D">
        <w:rPr>
          <w:rFonts w:ascii="David" w:eastAsia="Times New Roman" w:hAnsi="David" w:cs="David"/>
          <w:b/>
          <w:bCs/>
          <w:sz w:val="24"/>
          <w:szCs w:val="24"/>
          <w:u w:val="single"/>
          <w:rtl/>
        </w:rPr>
        <w:t xml:space="preserve">תוכנית הקורס – נושאי לימוד </w:t>
      </w:r>
    </w:p>
    <w:p w14:paraId="26999183" w14:textId="77777777" w:rsidR="00687D9D" w:rsidRPr="00687D9D" w:rsidRDefault="00687D9D" w:rsidP="00687D9D">
      <w:pPr>
        <w:spacing w:after="0" w:line="240" w:lineRule="auto"/>
        <w:jc w:val="center"/>
        <w:rPr>
          <w:rFonts w:ascii="David" w:eastAsia="Times New Roman" w:hAnsi="David" w:cs="David"/>
          <w:b/>
          <w:bCs/>
          <w:sz w:val="24"/>
          <w:szCs w:val="24"/>
          <w:u w:val="singl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4457"/>
        <w:gridCol w:w="1415"/>
      </w:tblGrid>
      <w:tr w:rsidR="00E10369" w:rsidRPr="00B6312F" w14:paraId="26856C56" w14:textId="77777777" w:rsidTr="00B6312F">
        <w:tc>
          <w:tcPr>
            <w:tcW w:w="1175" w:type="dxa"/>
            <w:shd w:val="clear" w:color="auto" w:fill="auto"/>
          </w:tcPr>
          <w:p w14:paraId="6C700549" w14:textId="77777777" w:rsidR="00E10369" w:rsidRPr="00687D9D" w:rsidRDefault="00E10369"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סמסטר</w:t>
            </w:r>
          </w:p>
        </w:tc>
        <w:tc>
          <w:tcPr>
            <w:tcW w:w="4457" w:type="dxa"/>
            <w:shd w:val="clear" w:color="auto" w:fill="auto"/>
          </w:tcPr>
          <w:p w14:paraId="10CF8299" w14:textId="77777777" w:rsidR="00E10369" w:rsidRPr="00687D9D" w:rsidRDefault="00E10369"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נושא</w:t>
            </w:r>
          </w:p>
        </w:tc>
        <w:tc>
          <w:tcPr>
            <w:tcW w:w="1415" w:type="dxa"/>
            <w:shd w:val="clear" w:color="auto" w:fill="auto"/>
          </w:tcPr>
          <w:p w14:paraId="03D1E687" w14:textId="77777777" w:rsidR="00E10369" w:rsidRPr="00687D9D" w:rsidRDefault="00E10369" w:rsidP="00687D9D">
            <w:pPr>
              <w:spacing w:after="0" w:line="240" w:lineRule="auto"/>
              <w:jc w:val="center"/>
              <w:rPr>
                <w:rFonts w:ascii="David" w:eastAsia="Times New Roman" w:hAnsi="David" w:cs="David"/>
                <w:b/>
                <w:bCs/>
                <w:sz w:val="24"/>
                <w:szCs w:val="24"/>
                <w:rtl/>
              </w:rPr>
            </w:pPr>
            <w:r w:rsidRPr="00687D9D">
              <w:rPr>
                <w:rFonts w:ascii="David" w:eastAsia="Times New Roman" w:hAnsi="David" w:cs="David"/>
                <w:b/>
                <w:bCs/>
                <w:sz w:val="24"/>
                <w:szCs w:val="24"/>
                <w:rtl/>
              </w:rPr>
              <w:t>הערות</w:t>
            </w:r>
          </w:p>
        </w:tc>
      </w:tr>
      <w:tr w:rsidR="00B6312F" w:rsidRPr="00B6312F" w14:paraId="117C21D6" w14:textId="77777777" w:rsidTr="00B6312F">
        <w:trPr>
          <w:trHeight w:val="722"/>
        </w:trPr>
        <w:tc>
          <w:tcPr>
            <w:tcW w:w="1175" w:type="dxa"/>
            <w:vMerge w:val="restart"/>
            <w:shd w:val="clear" w:color="auto" w:fill="auto"/>
          </w:tcPr>
          <w:p w14:paraId="6799E7EC" w14:textId="77777777" w:rsidR="00B6312F" w:rsidRPr="00687D9D" w:rsidRDefault="00B6312F" w:rsidP="00B6312F">
            <w:pPr>
              <w:spacing w:after="0" w:line="240" w:lineRule="auto"/>
              <w:jc w:val="center"/>
              <w:rPr>
                <w:rFonts w:ascii="David" w:eastAsia="Times New Roman" w:hAnsi="David" w:cs="David"/>
                <w:sz w:val="24"/>
                <w:szCs w:val="24"/>
                <w:rtl/>
              </w:rPr>
            </w:pPr>
          </w:p>
          <w:p w14:paraId="166329EB" w14:textId="77777777" w:rsidR="00B6312F" w:rsidRPr="00687D9D" w:rsidRDefault="00B6312F" w:rsidP="00B6312F">
            <w:pPr>
              <w:spacing w:after="0" w:line="240" w:lineRule="auto"/>
              <w:jc w:val="center"/>
              <w:rPr>
                <w:rFonts w:ascii="David" w:eastAsia="Times New Roman" w:hAnsi="David" w:cs="David"/>
                <w:sz w:val="24"/>
                <w:szCs w:val="24"/>
                <w:rtl/>
              </w:rPr>
            </w:pPr>
          </w:p>
          <w:p w14:paraId="754BE666" w14:textId="7B59CC18" w:rsidR="00B6312F" w:rsidRPr="00687D9D" w:rsidRDefault="00B6312F" w:rsidP="00B6312F">
            <w:pPr>
              <w:spacing w:after="0" w:line="240" w:lineRule="auto"/>
              <w:jc w:val="center"/>
              <w:rPr>
                <w:rFonts w:ascii="David" w:eastAsia="Times New Roman" w:hAnsi="David" w:cs="David"/>
                <w:sz w:val="24"/>
                <w:szCs w:val="24"/>
                <w:rtl/>
              </w:rPr>
            </w:pPr>
            <w:r w:rsidRPr="00B6312F">
              <w:rPr>
                <w:rFonts w:ascii="David" w:eastAsia="Times New Roman" w:hAnsi="David" w:cs="David"/>
                <w:sz w:val="24"/>
                <w:szCs w:val="24"/>
                <w:rtl/>
              </w:rPr>
              <w:t>ב</w:t>
            </w:r>
          </w:p>
          <w:p w14:paraId="7BD2C293" w14:textId="77777777" w:rsidR="00B6312F" w:rsidRPr="00687D9D" w:rsidRDefault="00B6312F" w:rsidP="00B6312F">
            <w:pPr>
              <w:spacing w:after="0" w:line="240" w:lineRule="auto"/>
              <w:jc w:val="center"/>
              <w:rPr>
                <w:rFonts w:ascii="David" w:eastAsia="Times New Roman" w:hAnsi="David" w:cs="David"/>
                <w:sz w:val="24"/>
                <w:szCs w:val="24"/>
                <w:rtl/>
              </w:rPr>
            </w:pPr>
          </w:p>
        </w:tc>
        <w:tc>
          <w:tcPr>
            <w:tcW w:w="4457" w:type="dxa"/>
            <w:shd w:val="clear" w:color="auto" w:fill="auto"/>
          </w:tcPr>
          <w:p w14:paraId="37A1FFD1" w14:textId="5BB1495A" w:rsidR="00B6312F" w:rsidRPr="00687D9D" w:rsidRDefault="00B6312F" w:rsidP="00B6312F">
            <w:pPr>
              <w:spacing w:after="0" w:line="276" w:lineRule="auto"/>
              <w:ind w:right="-180"/>
              <w:rPr>
                <w:rFonts w:ascii="David" w:eastAsia="Times New Roman" w:hAnsi="David" w:cs="David"/>
                <w:sz w:val="24"/>
                <w:szCs w:val="24"/>
                <w:rtl/>
              </w:rPr>
            </w:pPr>
            <w:r w:rsidRPr="00B6312F">
              <w:rPr>
                <w:rFonts w:ascii="David" w:hAnsi="David" w:cs="David"/>
                <w:sz w:val="24"/>
                <w:szCs w:val="24"/>
                <w:rtl/>
              </w:rPr>
              <w:t>מבוא - עקרונות התפיסה השיווקית</w:t>
            </w:r>
          </w:p>
        </w:tc>
        <w:tc>
          <w:tcPr>
            <w:tcW w:w="1415" w:type="dxa"/>
            <w:vMerge w:val="restart"/>
            <w:shd w:val="clear" w:color="auto" w:fill="auto"/>
          </w:tcPr>
          <w:p w14:paraId="5CDFD1B0" w14:textId="77777777" w:rsidR="00B6312F" w:rsidRPr="00687D9D" w:rsidRDefault="00B6312F" w:rsidP="00B6312F">
            <w:pPr>
              <w:spacing w:after="0" w:line="240" w:lineRule="auto"/>
              <w:rPr>
                <w:rFonts w:ascii="David" w:eastAsia="Times New Roman" w:hAnsi="David" w:cs="David"/>
                <w:sz w:val="24"/>
                <w:szCs w:val="24"/>
                <w:rtl/>
              </w:rPr>
            </w:pPr>
          </w:p>
        </w:tc>
      </w:tr>
      <w:tr w:rsidR="00B6312F" w:rsidRPr="00B6312F" w14:paraId="2553D9EA" w14:textId="77777777" w:rsidTr="00B6312F">
        <w:trPr>
          <w:trHeight w:val="721"/>
        </w:trPr>
        <w:tc>
          <w:tcPr>
            <w:tcW w:w="1175" w:type="dxa"/>
            <w:vMerge/>
            <w:shd w:val="clear" w:color="auto" w:fill="auto"/>
          </w:tcPr>
          <w:p w14:paraId="7FE247DF" w14:textId="77777777" w:rsidR="00B6312F" w:rsidRPr="00B6312F" w:rsidRDefault="00B6312F" w:rsidP="00B6312F">
            <w:pPr>
              <w:spacing w:after="0" w:line="240" w:lineRule="auto"/>
              <w:jc w:val="center"/>
              <w:rPr>
                <w:rFonts w:ascii="David" w:eastAsia="Times New Roman" w:hAnsi="David" w:cs="David"/>
                <w:sz w:val="24"/>
                <w:szCs w:val="24"/>
                <w:rtl/>
              </w:rPr>
            </w:pPr>
          </w:p>
        </w:tc>
        <w:tc>
          <w:tcPr>
            <w:tcW w:w="4457" w:type="dxa"/>
            <w:shd w:val="clear" w:color="auto" w:fill="auto"/>
          </w:tcPr>
          <w:p w14:paraId="4DE039A0" w14:textId="3659D3C0" w:rsidR="00B6312F" w:rsidRPr="00B6312F" w:rsidRDefault="00B6312F" w:rsidP="00B6312F">
            <w:pPr>
              <w:spacing w:after="0" w:line="276" w:lineRule="auto"/>
              <w:ind w:right="-180"/>
              <w:rPr>
                <w:rFonts w:ascii="David" w:eastAsia="Times New Roman" w:hAnsi="David" w:cs="David"/>
                <w:sz w:val="24"/>
                <w:szCs w:val="24"/>
                <w:rtl/>
              </w:rPr>
            </w:pPr>
            <w:r w:rsidRPr="00B6312F">
              <w:rPr>
                <w:rFonts w:ascii="David" w:hAnsi="David" w:cs="David"/>
                <w:sz w:val="24"/>
                <w:szCs w:val="24"/>
                <w:rtl/>
              </w:rPr>
              <w:t>השפעות תרבותיות: שונות בינתרבותית – מימדי הופסטד</w:t>
            </w:r>
          </w:p>
        </w:tc>
        <w:tc>
          <w:tcPr>
            <w:tcW w:w="1415" w:type="dxa"/>
            <w:vMerge/>
            <w:shd w:val="clear" w:color="auto" w:fill="auto"/>
          </w:tcPr>
          <w:p w14:paraId="2E0F8AFD" w14:textId="77777777" w:rsidR="00B6312F" w:rsidRPr="00B6312F" w:rsidRDefault="00B6312F" w:rsidP="00B6312F">
            <w:pPr>
              <w:spacing w:after="0" w:line="240" w:lineRule="auto"/>
              <w:rPr>
                <w:rFonts w:ascii="David" w:eastAsia="Times New Roman" w:hAnsi="David" w:cs="David"/>
                <w:sz w:val="24"/>
                <w:szCs w:val="24"/>
                <w:rtl/>
              </w:rPr>
            </w:pPr>
          </w:p>
        </w:tc>
      </w:tr>
      <w:tr w:rsidR="00B6312F" w:rsidRPr="00B6312F" w14:paraId="42235C9D" w14:textId="77777777" w:rsidTr="00B6312F">
        <w:trPr>
          <w:trHeight w:val="387"/>
        </w:trPr>
        <w:tc>
          <w:tcPr>
            <w:tcW w:w="1175" w:type="dxa"/>
            <w:vMerge/>
            <w:shd w:val="clear" w:color="auto" w:fill="auto"/>
          </w:tcPr>
          <w:p w14:paraId="1CDB9CDC" w14:textId="77777777" w:rsidR="00B6312F" w:rsidRPr="00B6312F" w:rsidRDefault="00B6312F" w:rsidP="00B6312F">
            <w:pPr>
              <w:spacing w:after="0" w:line="240" w:lineRule="auto"/>
              <w:jc w:val="center"/>
              <w:rPr>
                <w:rFonts w:ascii="David" w:eastAsia="Times New Roman" w:hAnsi="David" w:cs="David"/>
                <w:sz w:val="24"/>
                <w:szCs w:val="24"/>
                <w:rtl/>
              </w:rPr>
            </w:pPr>
          </w:p>
        </w:tc>
        <w:tc>
          <w:tcPr>
            <w:tcW w:w="4457" w:type="dxa"/>
            <w:shd w:val="clear" w:color="auto" w:fill="auto"/>
          </w:tcPr>
          <w:p w14:paraId="7075384F" w14:textId="1004ADB9" w:rsidR="00B6312F" w:rsidRPr="00B6312F" w:rsidRDefault="00B6312F" w:rsidP="00B6312F">
            <w:pPr>
              <w:spacing w:after="0" w:line="276" w:lineRule="auto"/>
              <w:ind w:right="-180"/>
              <w:rPr>
                <w:rFonts w:ascii="David" w:eastAsia="Times New Roman" w:hAnsi="David" w:cs="David"/>
                <w:sz w:val="24"/>
                <w:szCs w:val="24"/>
                <w:rtl/>
              </w:rPr>
            </w:pPr>
            <w:r w:rsidRPr="00B6312F">
              <w:rPr>
                <w:rFonts w:ascii="David" w:hAnsi="David" w:cs="David"/>
                <w:sz w:val="24"/>
                <w:szCs w:val="24"/>
                <w:rtl/>
              </w:rPr>
              <w:t>השפעות חברתיות: קבוצות השתייכות והזדהות</w:t>
            </w:r>
          </w:p>
        </w:tc>
        <w:tc>
          <w:tcPr>
            <w:tcW w:w="1415" w:type="dxa"/>
            <w:vMerge/>
            <w:shd w:val="clear" w:color="auto" w:fill="auto"/>
          </w:tcPr>
          <w:p w14:paraId="5BFE3425" w14:textId="77777777" w:rsidR="00B6312F" w:rsidRPr="00B6312F" w:rsidRDefault="00B6312F" w:rsidP="00B6312F">
            <w:pPr>
              <w:spacing w:after="0" w:line="240" w:lineRule="auto"/>
              <w:rPr>
                <w:rFonts w:ascii="David" w:eastAsia="Times New Roman" w:hAnsi="David" w:cs="David"/>
                <w:sz w:val="24"/>
                <w:szCs w:val="24"/>
                <w:rtl/>
              </w:rPr>
            </w:pPr>
          </w:p>
        </w:tc>
      </w:tr>
      <w:tr w:rsidR="00B6312F" w:rsidRPr="00B6312F" w14:paraId="0FD71A87" w14:textId="77777777" w:rsidTr="00B6312F">
        <w:trPr>
          <w:trHeight w:val="413"/>
        </w:trPr>
        <w:tc>
          <w:tcPr>
            <w:tcW w:w="1175" w:type="dxa"/>
            <w:vMerge/>
            <w:shd w:val="clear" w:color="auto" w:fill="auto"/>
          </w:tcPr>
          <w:p w14:paraId="61A4BF76" w14:textId="77777777" w:rsidR="00B6312F" w:rsidRPr="00B6312F" w:rsidRDefault="00B6312F" w:rsidP="00B6312F">
            <w:pPr>
              <w:spacing w:after="0" w:line="240" w:lineRule="auto"/>
              <w:jc w:val="center"/>
              <w:rPr>
                <w:rFonts w:ascii="David" w:eastAsia="Times New Roman" w:hAnsi="David" w:cs="David"/>
                <w:sz w:val="24"/>
                <w:szCs w:val="24"/>
                <w:rtl/>
              </w:rPr>
            </w:pPr>
          </w:p>
        </w:tc>
        <w:tc>
          <w:tcPr>
            <w:tcW w:w="4457" w:type="dxa"/>
            <w:shd w:val="clear" w:color="auto" w:fill="auto"/>
          </w:tcPr>
          <w:p w14:paraId="4B5EBE52" w14:textId="12F29FDF" w:rsidR="00B6312F" w:rsidRPr="00B6312F" w:rsidRDefault="00B6312F" w:rsidP="00B6312F">
            <w:pPr>
              <w:spacing w:after="0" w:line="276" w:lineRule="auto"/>
              <w:ind w:right="-180"/>
              <w:rPr>
                <w:rFonts w:ascii="David" w:eastAsia="Times New Roman" w:hAnsi="David" w:cs="David"/>
                <w:sz w:val="24"/>
                <w:szCs w:val="24"/>
                <w:rtl/>
              </w:rPr>
            </w:pPr>
            <w:r w:rsidRPr="00B6312F">
              <w:rPr>
                <w:rFonts w:ascii="David" w:hAnsi="David" w:cs="David"/>
                <w:sz w:val="24"/>
                <w:szCs w:val="24"/>
                <w:rtl/>
              </w:rPr>
              <w:t>השפעות אישיות: הצרכן והעובד הרגשי</w:t>
            </w:r>
          </w:p>
        </w:tc>
        <w:tc>
          <w:tcPr>
            <w:tcW w:w="1415" w:type="dxa"/>
            <w:vMerge/>
            <w:shd w:val="clear" w:color="auto" w:fill="auto"/>
          </w:tcPr>
          <w:p w14:paraId="0CB827AF" w14:textId="77777777" w:rsidR="00B6312F" w:rsidRPr="00B6312F" w:rsidRDefault="00B6312F" w:rsidP="00B6312F">
            <w:pPr>
              <w:spacing w:after="0" w:line="240" w:lineRule="auto"/>
              <w:rPr>
                <w:rFonts w:ascii="David" w:eastAsia="Times New Roman" w:hAnsi="David" w:cs="David"/>
                <w:sz w:val="24"/>
                <w:szCs w:val="24"/>
                <w:rtl/>
              </w:rPr>
            </w:pPr>
          </w:p>
        </w:tc>
      </w:tr>
      <w:tr w:rsidR="00E10369" w:rsidRPr="00B6312F" w14:paraId="782E44D2" w14:textId="77777777" w:rsidTr="00B6312F">
        <w:trPr>
          <w:trHeight w:val="412"/>
        </w:trPr>
        <w:tc>
          <w:tcPr>
            <w:tcW w:w="1175" w:type="dxa"/>
            <w:vMerge/>
            <w:shd w:val="clear" w:color="auto" w:fill="auto"/>
          </w:tcPr>
          <w:p w14:paraId="4A215820" w14:textId="77777777" w:rsidR="00E10369" w:rsidRPr="00B6312F" w:rsidRDefault="00E10369" w:rsidP="00E10369">
            <w:pPr>
              <w:spacing w:after="0" w:line="240" w:lineRule="auto"/>
              <w:jc w:val="center"/>
              <w:rPr>
                <w:rFonts w:ascii="David" w:eastAsia="Times New Roman" w:hAnsi="David" w:cs="David"/>
                <w:sz w:val="24"/>
                <w:szCs w:val="24"/>
                <w:rtl/>
              </w:rPr>
            </w:pPr>
          </w:p>
        </w:tc>
        <w:tc>
          <w:tcPr>
            <w:tcW w:w="4457" w:type="dxa"/>
            <w:shd w:val="clear" w:color="auto" w:fill="auto"/>
          </w:tcPr>
          <w:p w14:paraId="0BB8328D" w14:textId="3AD45B6F" w:rsidR="00E10369" w:rsidRPr="00B6312F" w:rsidRDefault="00E10369" w:rsidP="00E10369">
            <w:pPr>
              <w:spacing w:after="0" w:line="276" w:lineRule="auto"/>
              <w:ind w:right="-180"/>
              <w:rPr>
                <w:rFonts w:ascii="David" w:eastAsia="Times New Roman" w:hAnsi="David" w:cs="David"/>
                <w:sz w:val="24"/>
                <w:szCs w:val="24"/>
                <w:rtl/>
              </w:rPr>
            </w:pPr>
            <w:r w:rsidRPr="00B6312F">
              <w:rPr>
                <w:rFonts w:ascii="David" w:hAnsi="David" w:cs="David"/>
                <w:sz w:val="24"/>
                <w:szCs w:val="24"/>
                <w:rtl/>
              </w:rPr>
              <w:t>תהליכי קניה מורכבים ופשוטים</w:t>
            </w:r>
          </w:p>
        </w:tc>
        <w:tc>
          <w:tcPr>
            <w:tcW w:w="1415" w:type="dxa"/>
            <w:vMerge/>
            <w:shd w:val="clear" w:color="auto" w:fill="auto"/>
          </w:tcPr>
          <w:p w14:paraId="3477EF90" w14:textId="77777777" w:rsidR="00E10369" w:rsidRPr="00B6312F" w:rsidRDefault="00E10369" w:rsidP="00E10369">
            <w:pPr>
              <w:spacing w:after="0" w:line="240" w:lineRule="auto"/>
              <w:rPr>
                <w:rFonts w:ascii="David" w:eastAsia="Times New Roman" w:hAnsi="David" w:cs="David"/>
                <w:sz w:val="24"/>
                <w:szCs w:val="24"/>
                <w:rtl/>
              </w:rPr>
            </w:pPr>
          </w:p>
        </w:tc>
      </w:tr>
      <w:tr w:rsidR="00E10369" w:rsidRPr="00B6312F" w14:paraId="266808CE" w14:textId="77777777" w:rsidTr="00B6312F">
        <w:trPr>
          <w:trHeight w:val="419"/>
        </w:trPr>
        <w:tc>
          <w:tcPr>
            <w:tcW w:w="1175" w:type="dxa"/>
            <w:vMerge/>
            <w:shd w:val="clear" w:color="auto" w:fill="auto"/>
          </w:tcPr>
          <w:p w14:paraId="22132081" w14:textId="77777777" w:rsidR="00E10369" w:rsidRPr="00B6312F" w:rsidRDefault="00E10369" w:rsidP="00E10369">
            <w:pPr>
              <w:spacing w:after="0" w:line="240" w:lineRule="auto"/>
              <w:jc w:val="center"/>
              <w:rPr>
                <w:rFonts w:ascii="David" w:eastAsia="Times New Roman" w:hAnsi="David" w:cs="David"/>
                <w:sz w:val="24"/>
                <w:szCs w:val="24"/>
                <w:rtl/>
              </w:rPr>
            </w:pPr>
          </w:p>
        </w:tc>
        <w:tc>
          <w:tcPr>
            <w:tcW w:w="4457" w:type="dxa"/>
            <w:shd w:val="clear" w:color="auto" w:fill="auto"/>
          </w:tcPr>
          <w:p w14:paraId="7ABE332A" w14:textId="2FE2758A" w:rsidR="00E10369" w:rsidRPr="00B6312F" w:rsidRDefault="00E10369" w:rsidP="00E10369">
            <w:pPr>
              <w:spacing w:after="0" w:line="276" w:lineRule="auto"/>
              <w:ind w:right="-180"/>
              <w:rPr>
                <w:rFonts w:ascii="David" w:eastAsia="Times New Roman" w:hAnsi="David" w:cs="David"/>
                <w:sz w:val="24"/>
                <w:szCs w:val="24"/>
                <w:rtl/>
              </w:rPr>
            </w:pPr>
            <w:r w:rsidRPr="00B6312F">
              <w:rPr>
                <w:rFonts w:ascii="David" w:hAnsi="David" w:cs="David"/>
                <w:sz w:val="24"/>
                <w:szCs w:val="24"/>
                <w:rtl/>
              </w:rPr>
              <w:t>ניהול מערך קשרי שרות מול לקוחות</w:t>
            </w:r>
          </w:p>
        </w:tc>
        <w:tc>
          <w:tcPr>
            <w:tcW w:w="1415" w:type="dxa"/>
            <w:vMerge/>
            <w:shd w:val="clear" w:color="auto" w:fill="auto"/>
          </w:tcPr>
          <w:p w14:paraId="6DBDD382" w14:textId="77777777" w:rsidR="00E10369" w:rsidRPr="00B6312F" w:rsidRDefault="00E10369" w:rsidP="00E10369">
            <w:pPr>
              <w:spacing w:after="0" w:line="240" w:lineRule="auto"/>
              <w:rPr>
                <w:rFonts w:ascii="David" w:eastAsia="Times New Roman" w:hAnsi="David" w:cs="David"/>
                <w:sz w:val="24"/>
                <w:szCs w:val="24"/>
                <w:rtl/>
              </w:rPr>
            </w:pPr>
          </w:p>
        </w:tc>
      </w:tr>
      <w:tr w:rsidR="00E10369" w:rsidRPr="00B6312F" w14:paraId="09FBF962" w14:textId="77777777" w:rsidTr="00B6312F">
        <w:trPr>
          <w:trHeight w:val="411"/>
        </w:trPr>
        <w:tc>
          <w:tcPr>
            <w:tcW w:w="1175" w:type="dxa"/>
            <w:vMerge/>
            <w:shd w:val="clear" w:color="auto" w:fill="auto"/>
          </w:tcPr>
          <w:p w14:paraId="002693F1" w14:textId="77777777" w:rsidR="00E10369" w:rsidRPr="00B6312F" w:rsidRDefault="00E10369" w:rsidP="00E10369">
            <w:pPr>
              <w:spacing w:after="0" w:line="240" w:lineRule="auto"/>
              <w:jc w:val="center"/>
              <w:rPr>
                <w:rFonts w:ascii="David" w:eastAsia="Times New Roman" w:hAnsi="David" w:cs="David"/>
                <w:sz w:val="24"/>
                <w:szCs w:val="24"/>
                <w:rtl/>
              </w:rPr>
            </w:pPr>
          </w:p>
        </w:tc>
        <w:tc>
          <w:tcPr>
            <w:tcW w:w="4457" w:type="dxa"/>
            <w:shd w:val="clear" w:color="auto" w:fill="auto"/>
          </w:tcPr>
          <w:p w14:paraId="00191C4C" w14:textId="0054BB47" w:rsidR="00E10369" w:rsidRPr="00B6312F" w:rsidRDefault="00E10369" w:rsidP="00E10369">
            <w:pPr>
              <w:spacing w:after="0" w:line="276" w:lineRule="auto"/>
              <w:ind w:right="-180"/>
              <w:rPr>
                <w:rFonts w:ascii="David" w:eastAsia="Times New Roman" w:hAnsi="David" w:cs="David"/>
                <w:sz w:val="24"/>
                <w:szCs w:val="24"/>
                <w:rtl/>
              </w:rPr>
            </w:pPr>
            <w:r w:rsidRPr="00B6312F">
              <w:rPr>
                <w:rFonts w:ascii="David" w:hAnsi="David" w:cs="David"/>
                <w:sz w:val="24"/>
                <w:szCs w:val="24"/>
                <w:rtl/>
              </w:rPr>
              <w:t>שיווק ושירות פנימי</w:t>
            </w:r>
          </w:p>
        </w:tc>
        <w:tc>
          <w:tcPr>
            <w:tcW w:w="1415" w:type="dxa"/>
            <w:vMerge/>
            <w:shd w:val="clear" w:color="auto" w:fill="auto"/>
          </w:tcPr>
          <w:p w14:paraId="5E5F52E5" w14:textId="77777777" w:rsidR="00E10369" w:rsidRPr="00B6312F" w:rsidRDefault="00E10369" w:rsidP="00E10369">
            <w:pPr>
              <w:spacing w:after="0" w:line="240" w:lineRule="auto"/>
              <w:rPr>
                <w:rFonts w:ascii="David" w:eastAsia="Times New Roman" w:hAnsi="David" w:cs="David"/>
                <w:sz w:val="24"/>
                <w:szCs w:val="24"/>
                <w:rtl/>
              </w:rPr>
            </w:pPr>
          </w:p>
        </w:tc>
      </w:tr>
      <w:tr w:rsidR="00E10369" w:rsidRPr="00B6312F" w14:paraId="5483F324" w14:textId="77777777" w:rsidTr="00B6312F">
        <w:trPr>
          <w:trHeight w:val="416"/>
        </w:trPr>
        <w:tc>
          <w:tcPr>
            <w:tcW w:w="1175" w:type="dxa"/>
            <w:vMerge/>
            <w:shd w:val="clear" w:color="auto" w:fill="auto"/>
          </w:tcPr>
          <w:p w14:paraId="229ACBB7" w14:textId="77777777" w:rsidR="00E10369" w:rsidRPr="00B6312F" w:rsidRDefault="00E10369" w:rsidP="00E10369">
            <w:pPr>
              <w:spacing w:after="0" w:line="240" w:lineRule="auto"/>
              <w:jc w:val="center"/>
              <w:rPr>
                <w:rFonts w:ascii="David" w:eastAsia="Times New Roman" w:hAnsi="David" w:cs="David"/>
                <w:sz w:val="24"/>
                <w:szCs w:val="24"/>
                <w:rtl/>
              </w:rPr>
            </w:pPr>
          </w:p>
        </w:tc>
        <w:tc>
          <w:tcPr>
            <w:tcW w:w="4457" w:type="dxa"/>
            <w:shd w:val="clear" w:color="auto" w:fill="auto"/>
          </w:tcPr>
          <w:p w14:paraId="5A78B89E" w14:textId="63796029" w:rsidR="00E10369" w:rsidRPr="00B6312F" w:rsidRDefault="00E10369" w:rsidP="00E10369">
            <w:pPr>
              <w:spacing w:after="0" w:line="276" w:lineRule="auto"/>
              <w:ind w:right="-180"/>
              <w:rPr>
                <w:rFonts w:ascii="David" w:eastAsia="Times New Roman" w:hAnsi="David" w:cs="David"/>
                <w:sz w:val="24"/>
                <w:szCs w:val="24"/>
                <w:rtl/>
              </w:rPr>
            </w:pPr>
            <w:r w:rsidRPr="00B6312F">
              <w:rPr>
                <w:rFonts w:ascii="David" w:hAnsi="David" w:cs="David"/>
                <w:sz w:val="24"/>
                <w:szCs w:val="24"/>
                <w:rtl/>
              </w:rPr>
              <w:t>הפעלת ופיתוח ארגוני של מערך עובדי קו ראשון</w:t>
            </w:r>
          </w:p>
        </w:tc>
        <w:tc>
          <w:tcPr>
            <w:tcW w:w="1415" w:type="dxa"/>
            <w:vMerge/>
            <w:shd w:val="clear" w:color="auto" w:fill="auto"/>
          </w:tcPr>
          <w:p w14:paraId="644F6288" w14:textId="77777777" w:rsidR="00E10369" w:rsidRPr="00B6312F" w:rsidRDefault="00E10369" w:rsidP="00E10369">
            <w:pPr>
              <w:spacing w:after="0" w:line="240" w:lineRule="auto"/>
              <w:rPr>
                <w:rFonts w:ascii="David" w:eastAsia="Times New Roman" w:hAnsi="David" w:cs="David"/>
                <w:sz w:val="24"/>
                <w:szCs w:val="24"/>
                <w:rtl/>
              </w:rPr>
            </w:pPr>
          </w:p>
        </w:tc>
      </w:tr>
      <w:tr w:rsidR="00E10369" w:rsidRPr="00B6312F" w14:paraId="3336EC00" w14:textId="77777777" w:rsidTr="00B6312F">
        <w:trPr>
          <w:trHeight w:val="422"/>
        </w:trPr>
        <w:tc>
          <w:tcPr>
            <w:tcW w:w="1175" w:type="dxa"/>
            <w:vMerge/>
            <w:shd w:val="clear" w:color="auto" w:fill="auto"/>
          </w:tcPr>
          <w:p w14:paraId="65138FF5" w14:textId="77777777" w:rsidR="00E10369" w:rsidRPr="00B6312F" w:rsidRDefault="00E10369" w:rsidP="00E10369">
            <w:pPr>
              <w:spacing w:after="0" w:line="240" w:lineRule="auto"/>
              <w:jc w:val="center"/>
              <w:rPr>
                <w:rFonts w:ascii="David" w:eastAsia="Times New Roman" w:hAnsi="David" w:cs="David"/>
                <w:sz w:val="24"/>
                <w:szCs w:val="24"/>
                <w:rtl/>
              </w:rPr>
            </w:pPr>
          </w:p>
        </w:tc>
        <w:tc>
          <w:tcPr>
            <w:tcW w:w="4457" w:type="dxa"/>
            <w:shd w:val="clear" w:color="auto" w:fill="auto"/>
          </w:tcPr>
          <w:p w14:paraId="56379EBC" w14:textId="426AE39B" w:rsidR="00E10369" w:rsidRPr="00B6312F" w:rsidRDefault="00E10369" w:rsidP="00E10369">
            <w:pPr>
              <w:spacing w:after="0" w:line="276" w:lineRule="auto"/>
              <w:ind w:right="-180"/>
              <w:rPr>
                <w:rFonts w:ascii="David" w:eastAsia="Times New Roman" w:hAnsi="David" w:cs="David"/>
                <w:sz w:val="24"/>
                <w:szCs w:val="24"/>
                <w:rtl/>
              </w:rPr>
            </w:pPr>
            <w:r w:rsidRPr="00B6312F">
              <w:rPr>
                <w:rFonts w:ascii="David" w:hAnsi="David" w:cs="David"/>
                <w:sz w:val="24"/>
                <w:szCs w:val="24"/>
                <w:rtl/>
              </w:rPr>
              <w:t>מדידת איכויות ופעילות עובדי קו ראשון</w:t>
            </w:r>
          </w:p>
        </w:tc>
        <w:tc>
          <w:tcPr>
            <w:tcW w:w="1415" w:type="dxa"/>
            <w:vMerge/>
            <w:shd w:val="clear" w:color="auto" w:fill="auto"/>
          </w:tcPr>
          <w:p w14:paraId="2ED16C5D" w14:textId="77777777" w:rsidR="00E10369" w:rsidRPr="00B6312F" w:rsidRDefault="00E10369" w:rsidP="00E10369">
            <w:pPr>
              <w:spacing w:after="0" w:line="240" w:lineRule="auto"/>
              <w:rPr>
                <w:rFonts w:ascii="David" w:eastAsia="Times New Roman" w:hAnsi="David" w:cs="David"/>
                <w:sz w:val="24"/>
                <w:szCs w:val="24"/>
                <w:rtl/>
              </w:rPr>
            </w:pPr>
          </w:p>
        </w:tc>
      </w:tr>
      <w:tr w:rsidR="00E10369" w:rsidRPr="00B6312F" w14:paraId="69904820" w14:textId="77777777" w:rsidTr="00B6312F">
        <w:trPr>
          <w:trHeight w:val="557"/>
        </w:trPr>
        <w:tc>
          <w:tcPr>
            <w:tcW w:w="1175" w:type="dxa"/>
            <w:vMerge/>
            <w:shd w:val="clear" w:color="auto" w:fill="auto"/>
          </w:tcPr>
          <w:p w14:paraId="5D088906" w14:textId="77777777" w:rsidR="00E10369" w:rsidRPr="00B6312F" w:rsidRDefault="00E10369" w:rsidP="00E10369">
            <w:pPr>
              <w:spacing w:after="0" w:line="240" w:lineRule="auto"/>
              <w:jc w:val="center"/>
              <w:rPr>
                <w:rFonts w:ascii="David" w:eastAsia="Times New Roman" w:hAnsi="David" w:cs="David"/>
                <w:sz w:val="24"/>
                <w:szCs w:val="24"/>
                <w:rtl/>
              </w:rPr>
            </w:pPr>
          </w:p>
        </w:tc>
        <w:tc>
          <w:tcPr>
            <w:tcW w:w="4457" w:type="dxa"/>
            <w:shd w:val="clear" w:color="auto" w:fill="auto"/>
          </w:tcPr>
          <w:p w14:paraId="0D923262" w14:textId="19AA7B91" w:rsidR="00E10369" w:rsidRPr="00B6312F" w:rsidRDefault="00E10369" w:rsidP="00E10369">
            <w:pPr>
              <w:spacing w:after="0" w:line="276" w:lineRule="auto"/>
              <w:ind w:right="-180"/>
              <w:rPr>
                <w:rFonts w:ascii="David" w:eastAsia="Times New Roman" w:hAnsi="David" w:cs="David"/>
                <w:sz w:val="24"/>
                <w:szCs w:val="24"/>
                <w:rtl/>
              </w:rPr>
            </w:pPr>
            <w:r w:rsidRPr="00B6312F">
              <w:rPr>
                <w:rFonts w:ascii="David" w:hAnsi="David" w:cs="David"/>
                <w:sz w:val="24"/>
                <w:szCs w:val="24"/>
                <w:rtl/>
              </w:rPr>
              <w:t>מודל "חמשת הפערים" לאיתור מקורות כשל אפשריים.</w:t>
            </w:r>
          </w:p>
        </w:tc>
        <w:tc>
          <w:tcPr>
            <w:tcW w:w="1415" w:type="dxa"/>
            <w:vMerge/>
            <w:shd w:val="clear" w:color="auto" w:fill="auto"/>
          </w:tcPr>
          <w:p w14:paraId="3CA38E20" w14:textId="77777777" w:rsidR="00E10369" w:rsidRPr="00B6312F" w:rsidRDefault="00E10369" w:rsidP="00E10369">
            <w:pPr>
              <w:spacing w:after="0" w:line="240" w:lineRule="auto"/>
              <w:rPr>
                <w:rFonts w:ascii="David" w:eastAsia="Times New Roman" w:hAnsi="David" w:cs="David"/>
                <w:sz w:val="24"/>
                <w:szCs w:val="24"/>
                <w:rtl/>
              </w:rPr>
            </w:pPr>
          </w:p>
        </w:tc>
      </w:tr>
      <w:tr w:rsidR="00E10369" w:rsidRPr="00B6312F" w14:paraId="70F2915C" w14:textId="77777777" w:rsidTr="00B6312F">
        <w:trPr>
          <w:trHeight w:val="381"/>
        </w:trPr>
        <w:tc>
          <w:tcPr>
            <w:tcW w:w="1175" w:type="dxa"/>
            <w:vMerge/>
            <w:shd w:val="clear" w:color="auto" w:fill="auto"/>
          </w:tcPr>
          <w:p w14:paraId="5F2BE00B" w14:textId="77777777" w:rsidR="00E10369" w:rsidRPr="00B6312F" w:rsidRDefault="00E10369" w:rsidP="00E10369">
            <w:pPr>
              <w:spacing w:after="0" w:line="240" w:lineRule="auto"/>
              <w:jc w:val="center"/>
              <w:rPr>
                <w:rFonts w:ascii="David" w:eastAsia="Times New Roman" w:hAnsi="David" w:cs="David"/>
                <w:sz w:val="24"/>
                <w:szCs w:val="24"/>
                <w:rtl/>
              </w:rPr>
            </w:pPr>
          </w:p>
        </w:tc>
        <w:tc>
          <w:tcPr>
            <w:tcW w:w="4457" w:type="dxa"/>
            <w:shd w:val="clear" w:color="auto" w:fill="auto"/>
          </w:tcPr>
          <w:p w14:paraId="58E94F31" w14:textId="3C531D60" w:rsidR="00E10369" w:rsidRPr="00B6312F" w:rsidRDefault="00E10369" w:rsidP="00E10369">
            <w:pPr>
              <w:spacing w:after="0" w:line="276" w:lineRule="auto"/>
              <w:ind w:right="-180"/>
              <w:rPr>
                <w:rFonts w:ascii="David" w:eastAsia="Times New Roman" w:hAnsi="David" w:cs="David"/>
                <w:sz w:val="24"/>
                <w:szCs w:val="24"/>
                <w:rtl/>
              </w:rPr>
            </w:pPr>
            <w:r w:rsidRPr="00B6312F">
              <w:rPr>
                <w:rFonts w:ascii="David" w:hAnsi="David" w:cs="David"/>
                <w:sz w:val="24"/>
                <w:szCs w:val="24"/>
                <w:rtl/>
              </w:rPr>
              <w:t>איכות טכנית ואיכות פונקציונלית של עובדי קו ראשון</w:t>
            </w:r>
          </w:p>
        </w:tc>
        <w:tc>
          <w:tcPr>
            <w:tcW w:w="1415" w:type="dxa"/>
            <w:vMerge/>
            <w:shd w:val="clear" w:color="auto" w:fill="auto"/>
          </w:tcPr>
          <w:p w14:paraId="098FE937" w14:textId="77777777" w:rsidR="00E10369" w:rsidRPr="00B6312F" w:rsidRDefault="00E10369" w:rsidP="00E10369">
            <w:pPr>
              <w:spacing w:after="0" w:line="240" w:lineRule="auto"/>
              <w:rPr>
                <w:rFonts w:ascii="David" w:eastAsia="Times New Roman" w:hAnsi="David" w:cs="David"/>
                <w:sz w:val="24"/>
                <w:szCs w:val="24"/>
                <w:rtl/>
              </w:rPr>
            </w:pPr>
          </w:p>
        </w:tc>
      </w:tr>
      <w:tr w:rsidR="00E10369" w:rsidRPr="00B6312F" w14:paraId="53AC3A84" w14:textId="77777777" w:rsidTr="00B6312F">
        <w:trPr>
          <w:trHeight w:val="347"/>
        </w:trPr>
        <w:tc>
          <w:tcPr>
            <w:tcW w:w="1175" w:type="dxa"/>
            <w:vMerge/>
            <w:shd w:val="clear" w:color="auto" w:fill="auto"/>
          </w:tcPr>
          <w:p w14:paraId="61E691E0" w14:textId="77777777" w:rsidR="00E10369" w:rsidRPr="00B6312F" w:rsidRDefault="00E10369" w:rsidP="00E10369">
            <w:pPr>
              <w:spacing w:after="0" w:line="240" w:lineRule="auto"/>
              <w:jc w:val="center"/>
              <w:rPr>
                <w:rFonts w:ascii="David" w:eastAsia="Times New Roman" w:hAnsi="David" w:cs="David"/>
                <w:sz w:val="24"/>
                <w:szCs w:val="24"/>
                <w:rtl/>
              </w:rPr>
            </w:pPr>
          </w:p>
        </w:tc>
        <w:tc>
          <w:tcPr>
            <w:tcW w:w="4457" w:type="dxa"/>
            <w:shd w:val="clear" w:color="auto" w:fill="auto"/>
          </w:tcPr>
          <w:p w14:paraId="28558036" w14:textId="2F503F30" w:rsidR="00E10369" w:rsidRPr="00B6312F" w:rsidRDefault="00E10369" w:rsidP="00E10369">
            <w:pPr>
              <w:spacing w:after="0" w:line="276" w:lineRule="auto"/>
              <w:ind w:right="-180"/>
              <w:rPr>
                <w:rFonts w:ascii="David" w:eastAsia="Times New Roman" w:hAnsi="David" w:cs="David"/>
                <w:sz w:val="24"/>
                <w:szCs w:val="24"/>
                <w:rtl/>
              </w:rPr>
            </w:pPr>
            <w:r w:rsidRPr="00B6312F">
              <w:rPr>
                <w:rFonts w:ascii="David" w:hAnsi="David" w:cs="David"/>
                <w:sz w:val="24"/>
                <w:szCs w:val="24"/>
                <w:rtl/>
              </w:rPr>
              <w:t>שיתוף הלקוחות בתהליכי השרות.</w:t>
            </w:r>
          </w:p>
        </w:tc>
        <w:tc>
          <w:tcPr>
            <w:tcW w:w="1415" w:type="dxa"/>
            <w:vMerge/>
            <w:shd w:val="clear" w:color="auto" w:fill="auto"/>
          </w:tcPr>
          <w:p w14:paraId="732453B5" w14:textId="77777777" w:rsidR="00E10369" w:rsidRPr="00B6312F" w:rsidRDefault="00E10369" w:rsidP="00E10369">
            <w:pPr>
              <w:spacing w:after="0" w:line="240" w:lineRule="auto"/>
              <w:rPr>
                <w:rFonts w:ascii="David" w:eastAsia="Times New Roman" w:hAnsi="David" w:cs="David"/>
                <w:sz w:val="24"/>
                <w:szCs w:val="24"/>
                <w:rtl/>
              </w:rPr>
            </w:pPr>
          </w:p>
        </w:tc>
      </w:tr>
      <w:tr w:rsidR="00E10369" w:rsidRPr="00B6312F" w14:paraId="5BCFE697" w14:textId="77777777" w:rsidTr="00B6312F">
        <w:trPr>
          <w:trHeight w:val="408"/>
        </w:trPr>
        <w:tc>
          <w:tcPr>
            <w:tcW w:w="1175" w:type="dxa"/>
            <w:vMerge/>
            <w:shd w:val="clear" w:color="auto" w:fill="auto"/>
          </w:tcPr>
          <w:p w14:paraId="114DCC39" w14:textId="77777777" w:rsidR="00E10369" w:rsidRPr="00B6312F" w:rsidRDefault="00E10369" w:rsidP="00E10369">
            <w:pPr>
              <w:spacing w:after="0" w:line="240" w:lineRule="auto"/>
              <w:jc w:val="center"/>
              <w:rPr>
                <w:rFonts w:ascii="David" w:eastAsia="Times New Roman" w:hAnsi="David" w:cs="David"/>
                <w:sz w:val="24"/>
                <w:szCs w:val="24"/>
                <w:rtl/>
              </w:rPr>
            </w:pPr>
          </w:p>
        </w:tc>
        <w:tc>
          <w:tcPr>
            <w:tcW w:w="4457" w:type="dxa"/>
            <w:shd w:val="clear" w:color="auto" w:fill="auto"/>
          </w:tcPr>
          <w:p w14:paraId="52B36E9E" w14:textId="3494D3E7" w:rsidR="00E10369" w:rsidRPr="00B6312F" w:rsidRDefault="00E10369" w:rsidP="00E10369">
            <w:pPr>
              <w:spacing w:after="0" w:line="276" w:lineRule="auto"/>
              <w:ind w:right="-180"/>
              <w:rPr>
                <w:rFonts w:ascii="David" w:eastAsia="Times New Roman" w:hAnsi="David" w:cs="David"/>
                <w:sz w:val="24"/>
                <w:szCs w:val="24"/>
                <w:rtl/>
              </w:rPr>
            </w:pPr>
            <w:r w:rsidRPr="00B6312F">
              <w:rPr>
                <w:rFonts w:ascii="David" w:hAnsi="David" w:cs="David"/>
                <w:sz w:val="24"/>
                <w:szCs w:val="24"/>
                <w:rtl/>
              </w:rPr>
              <w:t>ניהול סביבת העובד והלקוח.</w:t>
            </w:r>
          </w:p>
        </w:tc>
        <w:tc>
          <w:tcPr>
            <w:tcW w:w="1415" w:type="dxa"/>
            <w:vMerge/>
            <w:shd w:val="clear" w:color="auto" w:fill="auto"/>
          </w:tcPr>
          <w:p w14:paraId="48A778BE" w14:textId="77777777" w:rsidR="00E10369" w:rsidRPr="00B6312F" w:rsidRDefault="00E10369" w:rsidP="00E10369">
            <w:pPr>
              <w:spacing w:after="0" w:line="240" w:lineRule="auto"/>
              <w:rPr>
                <w:rFonts w:ascii="David" w:eastAsia="Times New Roman" w:hAnsi="David" w:cs="David"/>
                <w:sz w:val="24"/>
                <w:szCs w:val="24"/>
                <w:rtl/>
              </w:rPr>
            </w:pPr>
          </w:p>
        </w:tc>
      </w:tr>
      <w:tr w:rsidR="00E10369" w:rsidRPr="00B6312F" w14:paraId="2DC3C9F0" w14:textId="77777777" w:rsidTr="00B6312F">
        <w:trPr>
          <w:trHeight w:val="429"/>
        </w:trPr>
        <w:tc>
          <w:tcPr>
            <w:tcW w:w="1175" w:type="dxa"/>
            <w:vMerge/>
            <w:shd w:val="clear" w:color="auto" w:fill="auto"/>
          </w:tcPr>
          <w:p w14:paraId="51CE1954" w14:textId="77777777" w:rsidR="00E10369" w:rsidRPr="00B6312F" w:rsidRDefault="00E10369" w:rsidP="00E10369">
            <w:pPr>
              <w:spacing w:after="0" w:line="240" w:lineRule="auto"/>
              <w:jc w:val="center"/>
              <w:rPr>
                <w:rFonts w:ascii="David" w:eastAsia="Times New Roman" w:hAnsi="David" w:cs="David"/>
                <w:sz w:val="24"/>
                <w:szCs w:val="24"/>
                <w:rtl/>
              </w:rPr>
            </w:pPr>
          </w:p>
        </w:tc>
        <w:tc>
          <w:tcPr>
            <w:tcW w:w="4457" w:type="dxa"/>
            <w:shd w:val="clear" w:color="auto" w:fill="auto"/>
          </w:tcPr>
          <w:p w14:paraId="44E29E5C" w14:textId="4C9218FD" w:rsidR="00E10369" w:rsidRPr="00B6312F" w:rsidRDefault="00E10369" w:rsidP="00E10369">
            <w:pPr>
              <w:spacing w:after="0" w:line="276" w:lineRule="auto"/>
              <w:ind w:right="-180"/>
              <w:rPr>
                <w:rFonts w:ascii="David" w:eastAsia="Times New Roman" w:hAnsi="David" w:cs="David"/>
                <w:sz w:val="24"/>
                <w:szCs w:val="24"/>
                <w:rtl/>
              </w:rPr>
            </w:pPr>
            <w:r w:rsidRPr="00B6312F">
              <w:rPr>
                <w:rFonts w:ascii="David" w:hAnsi="David" w:cs="David"/>
                <w:sz w:val="24"/>
                <w:szCs w:val="24"/>
                <w:rtl/>
              </w:rPr>
              <w:t>טיפול בתלונות והתאוששות מכשלונות.</w:t>
            </w:r>
          </w:p>
        </w:tc>
        <w:tc>
          <w:tcPr>
            <w:tcW w:w="1415" w:type="dxa"/>
            <w:vMerge/>
            <w:shd w:val="clear" w:color="auto" w:fill="auto"/>
          </w:tcPr>
          <w:p w14:paraId="44E20417" w14:textId="77777777" w:rsidR="00E10369" w:rsidRPr="00B6312F" w:rsidRDefault="00E10369" w:rsidP="00E10369">
            <w:pPr>
              <w:spacing w:after="0" w:line="240" w:lineRule="auto"/>
              <w:rPr>
                <w:rFonts w:ascii="David" w:eastAsia="Times New Roman" w:hAnsi="David" w:cs="David"/>
                <w:sz w:val="24"/>
                <w:szCs w:val="24"/>
                <w:rtl/>
              </w:rPr>
            </w:pPr>
          </w:p>
        </w:tc>
      </w:tr>
      <w:tr w:rsidR="00E10369" w:rsidRPr="00B6312F" w14:paraId="14A39522" w14:textId="77777777" w:rsidTr="00B6312F">
        <w:trPr>
          <w:trHeight w:val="407"/>
        </w:trPr>
        <w:tc>
          <w:tcPr>
            <w:tcW w:w="1175" w:type="dxa"/>
            <w:vMerge/>
            <w:shd w:val="clear" w:color="auto" w:fill="auto"/>
          </w:tcPr>
          <w:p w14:paraId="4B26BF06" w14:textId="77777777" w:rsidR="00E10369" w:rsidRPr="00B6312F" w:rsidRDefault="00E10369" w:rsidP="00E10369">
            <w:pPr>
              <w:spacing w:after="0" w:line="240" w:lineRule="auto"/>
              <w:jc w:val="center"/>
              <w:rPr>
                <w:rFonts w:ascii="David" w:eastAsia="Times New Roman" w:hAnsi="David" w:cs="David"/>
                <w:sz w:val="24"/>
                <w:szCs w:val="24"/>
                <w:rtl/>
              </w:rPr>
            </w:pPr>
          </w:p>
        </w:tc>
        <w:tc>
          <w:tcPr>
            <w:tcW w:w="4457" w:type="dxa"/>
            <w:shd w:val="clear" w:color="auto" w:fill="auto"/>
          </w:tcPr>
          <w:p w14:paraId="171DC6F0" w14:textId="1BD5741C" w:rsidR="00E10369" w:rsidRPr="00B6312F" w:rsidRDefault="00E10369" w:rsidP="00E10369">
            <w:pPr>
              <w:spacing w:after="0" w:line="276" w:lineRule="auto"/>
              <w:ind w:right="-180"/>
              <w:rPr>
                <w:rFonts w:ascii="David" w:eastAsia="Times New Roman" w:hAnsi="David" w:cs="David"/>
                <w:sz w:val="24"/>
                <w:szCs w:val="24"/>
                <w:rtl/>
              </w:rPr>
            </w:pPr>
            <w:r w:rsidRPr="00B6312F">
              <w:rPr>
                <w:rFonts w:ascii="David" w:hAnsi="David" w:cs="David"/>
                <w:sz w:val="24"/>
                <w:szCs w:val="24"/>
                <w:rtl/>
              </w:rPr>
              <w:t>הגברת נאמנות עובדי קו ראשון ולקוחות.</w:t>
            </w:r>
          </w:p>
        </w:tc>
        <w:tc>
          <w:tcPr>
            <w:tcW w:w="1415" w:type="dxa"/>
            <w:vMerge/>
            <w:shd w:val="clear" w:color="auto" w:fill="auto"/>
          </w:tcPr>
          <w:p w14:paraId="6C65B37C" w14:textId="77777777" w:rsidR="00E10369" w:rsidRPr="00B6312F" w:rsidRDefault="00E10369" w:rsidP="00E10369">
            <w:pPr>
              <w:spacing w:after="0" w:line="240" w:lineRule="auto"/>
              <w:rPr>
                <w:rFonts w:ascii="David" w:eastAsia="Times New Roman" w:hAnsi="David" w:cs="David"/>
                <w:sz w:val="24"/>
                <w:szCs w:val="24"/>
                <w:rtl/>
              </w:rPr>
            </w:pPr>
          </w:p>
        </w:tc>
      </w:tr>
    </w:tbl>
    <w:p w14:paraId="1EB86B7C" w14:textId="77777777" w:rsidR="00687D9D" w:rsidRPr="00687D9D" w:rsidRDefault="00687D9D" w:rsidP="00687D9D">
      <w:pPr>
        <w:spacing w:after="0" w:line="240" w:lineRule="auto"/>
        <w:rPr>
          <w:rFonts w:ascii="David" w:eastAsia="Times New Roman" w:hAnsi="David" w:cs="David"/>
          <w:sz w:val="24"/>
          <w:szCs w:val="24"/>
        </w:rPr>
      </w:pPr>
    </w:p>
    <w:p w14:paraId="2400261A" w14:textId="77777777" w:rsidR="00687D9D" w:rsidRPr="00687D9D" w:rsidRDefault="00687D9D" w:rsidP="00687D9D">
      <w:pPr>
        <w:tabs>
          <w:tab w:val="num" w:pos="26"/>
        </w:tabs>
        <w:spacing w:after="0" w:line="240" w:lineRule="auto"/>
        <w:ind w:left="-154" w:right="-180"/>
        <w:jc w:val="both"/>
        <w:rPr>
          <w:rFonts w:ascii="David" w:eastAsia="Times New Roman" w:hAnsi="David" w:cs="David"/>
          <w:sz w:val="24"/>
          <w:szCs w:val="24"/>
          <w:rtl/>
        </w:rPr>
      </w:pPr>
    </w:p>
    <w:p w14:paraId="34C273CF" w14:textId="77777777" w:rsidR="00687D9D" w:rsidRPr="00687D9D" w:rsidRDefault="00687D9D" w:rsidP="00687D9D">
      <w:pPr>
        <w:tabs>
          <w:tab w:val="num" w:pos="26"/>
        </w:tabs>
        <w:spacing w:after="0" w:line="240" w:lineRule="auto"/>
        <w:ind w:left="-154" w:right="-180"/>
        <w:jc w:val="center"/>
        <w:rPr>
          <w:rFonts w:ascii="David" w:eastAsia="Times New Roman" w:hAnsi="David" w:cs="David"/>
          <w:sz w:val="24"/>
          <w:szCs w:val="24"/>
          <w:rtl/>
        </w:rPr>
      </w:pPr>
      <w:r w:rsidRPr="00687D9D">
        <w:rPr>
          <w:rFonts w:ascii="David" w:eastAsia="Times New Roman" w:hAnsi="David" w:cs="David"/>
          <w:b/>
          <w:bCs/>
          <w:sz w:val="24"/>
          <w:szCs w:val="24"/>
          <w:u w:val="single"/>
          <w:rtl/>
        </w:rPr>
        <w:t>חומר הלימוד לקורס</w:t>
      </w:r>
    </w:p>
    <w:p w14:paraId="22E1A72A" w14:textId="77777777" w:rsidR="00687D9D" w:rsidRPr="00687D9D" w:rsidRDefault="00687D9D" w:rsidP="00687D9D">
      <w:pPr>
        <w:tabs>
          <w:tab w:val="num" w:pos="26"/>
        </w:tabs>
        <w:spacing w:after="0" w:line="240" w:lineRule="auto"/>
        <w:ind w:left="-154" w:right="-180"/>
        <w:jc w:val="center"/>
        <w:rPr>
          <w:rFonts w:ascii="David" w:eastAsia="Times New Roman" w:hAnsi="David" w:cs="David"/>
          <w:sz w:val="24"/>
          <w:szCs w:val="24"/>
          <w:rtl/>
        </w:rPr>
      </w:pPr>
    </w:p>
    <w:tbl>
      <w:tblPr>
        <w:bidiVisual/>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6687"/>
      </w:tblGrid>
      <w:tr w:rsidR="00687D9D" w:rsidRPr="00687D9D" w14:paraId="5203FCD6" w14:textId="77777777" w:rsidTr="00481F9A">
        <w:tc>
          <w:tcPr>
            <w:tcW w:w="1770" w:type="dxa"/>
            <w:shd w:val="clear" w:color="auto" w:fill="auto"/>
          </w:tcPr>
          <w:p w14:paraId="45D6BD5D" w14:textId="77777777" w:rsidR="00687D9D" w:rsidRPr="00687D9D" w:rsidRDefault="00687D9D" w:rsidP="00687D9D">
            <w:pPr>
              <w:tabs>
                <w:tab w:val="num" w:pos="26"/>
              </w:tabs>
              <w:spacing w:after="0" w:line="240" w:lineRule="auto"/>
              <w:ind w:right="-180"/>
              <w:jc w:val="center"/>
              <w:rPr>
                <w:rFonts w:ascii="David" w:eastAsia="Times New Roman" w:hAnsi="David" w:cs="David"/>
                <w:b/>
                <w:bCs/>
                <w:sz w:val="24"/>
                <w:szCs w:val="24"/>
                <w:rtl/>
              </w:rPr>
            </w:pPr>
            <w:r w:rsidRPr="00687D9D">
              <w:rPr>
                <w:rFonts w:ascii="David" w:eastAsia="Times New Roman" w:hAnsi="David" w:cs="David"/>
                <w:b/>
                <w:bCs/>
                <w:sz w:val="24"/>
                <w:szCs w:val="24"/>
                <w:rtl/>
              </w:rPr>
              <w:t>ספר הקורס</w:t>
            </w:r>
          </w:p>
        </w:tc>
        <w:tc>
          <w:tcPr>
            <w:tcW w:w="6752" w:type="dxa"/>
            <w:shd w:val="clear" w:color="auto" w:fill="auto"/>
          </w:tcPr>
          <w:p w14:paraId="2430B8EA" w14:textId="77777777" w:rsidR="00E10369" w:rsidRPr="00B6312F" w:rsidRDefault="00E10369" w:rsidP="00E10369">
            <w:pPr>
              <w:pStyle w:val="a5"/>
              <w:rPr>
                <w:rFonts w:ascii="David" w:hAnsi="David"/>
                <w:sz w:val="24"/>
              </w:rPr>
            </w:pPr>
            <w:r w:rsidRPr="00B6312F">
              <w:rPr>
                <w:rFonts w:ascii="David" w:hAnsi="David"/>
                <w:sz w:val="24"/>
              </w:rPr>
              <w:t xml:space="preserve">Frances Frei and </w:t>
            </w:r>
            <w:hyperlink r:id="rId7" w:history="1">
              <w:r w:rsidRPr="00B6312F">
                <w:rPr>
                  <w:rFonts w:ascii="David" w:hAnsi="David"/>
                  <w:sz w:val="24"/>
                </w:rPr>
                <w:t>Anne Morriss</w:t>
              </w:r>
            </w:hyperlink>
            <w:r w:rsidRPr="00B6312F">
              <w:rPr>
                <w:rFonts w:ascii="David" w:hAnsi="David"/>
                <w:sz w:val="24"/>
              </w:rPr>
              <w:t>, "</w:t>
            </w:r>
            <w:r w:rsidRPr="00B6312F">
              <w:rPr>
                <w:rFonts w:ascii="David" w:hAnsi="David"/>
                <w:i/>
                <w:iCs/>
                <w:sz w:val="24"/>
                <w:u w:val="single"/>
              </w:rPr>
              <w:t>Uncommon Service: How to Win by Putting Customers at the Core of Your Business"</w:t>
            </w:r>
            <w:r w:rsidRPr="00B6312F">
              <w:rPr>
                <w:rFonts w:ascii="David" w:hAnsi="David"/>
                <w:sz w:val="24"/>
              </w:rPr>
              <w:t>, Harvard Review Press. 1</w:t>
            </w:r>
            <w:r w:rsidRPr="00B6312F">
              <w:rPr>
                <w:rFonts w:ascii="David" w:hAnsi="David"/>
                <w:sz w:val="24"/>
                <w:vertAlign w:val="superscript"/>
              </w:rPr>
              <w:t>st</w:t>
            </w:r>
            <w:r w:rsidRPr="00B6312F">
              <w:rPr>
                <w:rFonts w:ascii="David" w:hAnsi="David"/>
                <w:sz w:val="24"/>
              </w:rPr>
              <w:t xml:space="preserve">  ed.</w:t>
            </w:r>
          </w:p>
          <w:p w14:paraId="7C32BF19" w14:textId="77777777" w:rsidR="00E10369" w:rsidRPr="00B6312F" w:rsidRDefault="00E10369" w:rsidP="00E10369">
            <w:pPr>
              <w:pStyle w:val="a5"/>
              <w:rPr>
                <w:rFonts w:ascii="David" w:hAnsi="David"/>
                <w:sz w:val="24"/>
              </w:rPr>
            </w:pPr>
            <w:r w:rsidRPr="00B6312F">
              <w:rPr>
                <w:rFonts w:ascii="David" w:hAnsi="David"/>
                <w:sz w:val="24"/>
              </w:rPr>
              <w:t>Karsan Rudy and Kevin Kruse (2011), "</w:t>
            </w:r>
            <w:r w:rsidRPr="00B6312F">
              <w:rPr>
                <w:rFonts w:ascii="David" w:hAnsi="David"/>
                <w:i/>
                <w:iCs/>
                <w:sz w:val="24"/>
                <w:u w:val="single"/>
              </w:rPr>
              <w:t>How to Increase Performance and Profits through Full Engagement"</w:t>
            </w:r>
            <w:r w:rsidRPr="00B6312F">
              <w:rPr>
                <w:rFonts w:ascii="David" w:hAnsi="David"/>
                <w:i/>
                <w:iCs/>
                <w:sz w:val="24"/>
              </w:rPr>
              <w:t>,</w:t>
            </w:r>
            <w:r w:rsidRPr="00B6312F">
              <w:rPr>
                <w:rFonts w:ascii="David" w:hAnsi="David"/>
                <w:color w:val="FF0000"/>
                <w:sz w:val="24"/>
              </w:rPr>
              <w:t xml:space="preserve"> </w:t>
            </w:r>
            <w:r w:rsidRPr="00B6312F">
              <w:rPr>
                <w:rFonts w:ascii="David" w:hAnsi="David"/>
                <w:sz w:val="24"/>
              </w:rPr>
              <w:t xml:space="preserve">John Wiley and Sons, 1st ed. </w:t>
            </w:r>
          </w:p>
          <w:p w14:paraId="41DA16F8" w14:textId="77777777" w:rsidR="00E10369" w:rsidRPr="00B6312F" w:rsidRDefault="00E10369" w:rsidP="00E10369">
            <w:pPr>
              <w:pStyle w:val="a5"/>
              <w:rPr>
                <w:rFonts w:ascii="David" w:hAnsi="David"/>
                <w:sz w:val="24"/>
              </w:rPr>
            </w:pPr>
            <w:r w:rsidRPr="00B6312F">
              <w:rPr>
                <w:rFonts w:ascii="David" w:hAnsi="David"/>
                <w:sz w:val="24"/>
              </w:rPr>
              <w:t>Reicheld Fred (2012), "</w:t>
            </w:r>
            <w:r w:rsidRPr="00B6312F">
              <w:rPr>
                <w:rFonts w:ascii="David" w:hAnsi="David"/>
                <w:i/>
                <w:iCs/>
                <w:sz w:val="24"/>
                <w:u w:val="single"/>
              </w:rPr>
              <w:t>The Ultimate Question</w:t>
            </w:r>
            <w:r w:rsidRPr="00B6312F">
              <w:rPr>
                <w:rFonts w:ascii="David" w:hAnsi="David"/>
                <w:sz w:val="24"/>
              </w:rPr>
              <w:t>", Harvard Review Press. 2</w:t>
            </w:r>
            <w:r w:rsidRPr="00B6312F">
              <w:rPr>
                <w:rFonts w:ascii="David" w:hAnsi="David"/>
                <w:sz w:val="24"/>
                <w:vertAlign w:val="superscript"/>
              </w:rPr>
              <w:t>nd</w:t>
            </w:r>
            <w:r w:rsidRPr="00B6312F">
              <w:rPr>
                <w:rFonts w:ascii="David" w:hAnsi="David"/>
                <w:sz w:val="24"/>
              </w:rPr>
              <w:t xml:space="preserve"> ed.</w:t>
            </w:r>
          </w:p>
          <w:p w14:paraId="5A2B8116" w14:textId="1D9ACD97" w:rsidR="00687D9D" w:rsidRPr="00687D9D" w:rsidRDefault="00E10369" w:rsidP="00B6312F">
            <w:pPr>
              <w:pStyle w:val="a5"/>
              <w:bidi/>
              <w:rPr>
                <w:rFonts w:ascii="David" w:hAnsi="David"/>
                <w:sz w:val="24"/>
                <w:rtl/>
              </w:rPr>
            </w:pPr>
            <w:r w:rsidRPr="00B6312F">
              <w:rPr>
                <w:rFonts w:ascii="David" w:hAnsi="David"/>
                <w:sz w:val="24"/>
                <w:rtl/>
              </w:rPr>
              <w:t xml:space="preserve">דניאל כהנמן (2013), </w:t>
            </w:r>
            <w:r w:rsidRPr="00B6312F">
              <w:rPr>
                <w:rFonts w:ascii="David" w:hAnsi="David"/>
                <w:i/>
                <w:iCs/>
                <w:sz w:val="24"/>
                <w:u w:val="single"/>
                <w:rtl/>
              </w:rPr>
              <w:t>לחשוב מהר לחשוב לאט</w:t>
            </w:r>
            <w:r w:rsidRPr="00B6312F">
              <w:rPr>
                <w:rFonts w:ascii="David" w:hAnsi="David"/>
                <w:sz w:val="24"/>
                <w:rtl/>
              </w:rPr>
              <w:t>, כנרת, זמורה-ביתן</w:t>
            </w:r>
          </w:p>
        </w:tc>
      </w:tr>
      <w:tr w:rsidR="00687D9D" w:rsidRPr="00687D9D" w14:paraId="5C2DA19D" w14:textId="77777777" w:rsidTr="00481F9A">
        <w:tc>
          <w:tcPr>
            <w:tcW w:w="1770" w:type="dxa"/>
            <w:shd w:val="clear" w:color="auto" w:fill="auto"/>
          </w:tcPr>
          <w:p w14:paraId="7E078165" w14:textId="40DC16DE" w:rsidR="00687D9D" w:rsidRPr="00687D9D" w:rsidRDefault="00B6312F" w:rsidP="00687D9D">
            <w:pPr>
              <w:tabs>
                <w:tab w:val="num" w:pos="26"/>
              </w:tabs>
              <w:spacing w:after="0" w:line="240" w:lineRule="auto"/>
              <w:ind w:right="-180"/>
              <w:jc w:val="center"/>
              <w:rPr>
                <w:rFonts w:ascii="David" w:eastAsia="Times New Roman" w:hAnsi="David" w:cs="David"/>
                <w:b/>
                <w:bCs/>
                <w:sz w:val="24"/>
                <w:szCs w:val="24"/>
                <w:rtl/>
              </w:rPr>
            </w:pPr>
            <w:r w:rsidRPr="00B6312F">
              <w:rPr>
                <w:rFonts w:ascii="David" w:eastAsia="Times New Roman" w:hAnsi="David" w:cs="David"/>
                <w:b/>
                <w:bCs/>
                <w:sz w:val="24"/>
                <w:szCs w:val="24"/>
                <w:rtl/>
              </w:rPr>
              <w:t>בבילוגרפיה</w:t>
            </w:r>
          </w:p>
        </w:tc>
        <w:tc>
          <w:tcPr>
            <w:tcW w:w="6752" w:type="dxa"/>
            <w:shd w:val="clear" w:color="auto" w:fill="auto"/>
          </w:tcPr>
          <w:p w14:paraId="548A51DF" w14:textId="77777777" w:rsidR="00E10369" w:rsidRPr="00B6312F" w:rsidRDefault="00E10369" w:rsidP="00E10369">
            <w:pPr>
              <w:pStyle w:val="a5"/>
              <w:rPr>
                <w:rFonts w:ascii="David" w:hAnsi="David"/>
                <w:sz w:val="24"/>
              </w:rPr>
            </w:pPr>
            <w:r w:rsidRPr="00B6312F">
              <w:rPr>
                <w:rFonts w:ascii="David" w:hAnsi="David"/>
                <w:sz w:val="24"/>
              </w:rPr>
              <w:t xml:space="preserve">Hohenberg, Sebastian and Christian Homburg (2016), "Motivating Sales Reps for innovation selling in Different Cultures," </w:t>
            </w:r>
            <w:r w:rsidRPr="00B6312F">
              <w:rPr>
                <w:rFonts w:ascii="David" w:hAnsi="David"/>
                <w:i/>
                <w:iCs/>
                <w:sz w:val="24"/>
              </w:rPr>
              <w:t>Journal of Marketing</w:t>
            </w:r>
            <w:r w:rsidRPr="00B6312F">
              <w:rPr>
                <w:rFonts w:ascii="David" w:hAnsi="David"/>
                <w:sz w:val="24"/>
              </w:rPr>
              <w:t>, 80 (2), 101-119.</w:t>
            </w:r>
          </w:p>
          <w:p w14:paraId="5973CA6D" w14:textId="77777777" w:rsidR="00E10369" w:rsidRPr="00B6312F" w:rsidRDefault="00E10369" w:rsidP="00E10369">
            <w:pPr>
              <w:pStyle w:val="a5"/>
              <w:rPr>
                <w:rFonts w:ascii="David" w:hAnsi="David"/>
                <w:sz w:val="24"/>
              </w:rPr>
            </w:pPr>
            <w:r w:rsidRPr="00B6312F">
              <w:rPr>
                <w:rFonts w:ascii="David" w:hAnsi="David"/>
                <w:sz w:val="24"/>
              </w:rPr>
              <w:t xml:space="preserve">Ahearne, Michael, Till Haumann, Florian Kraus and Jan Wieseke (2013), "How Interpersonal Identification Between Sales Managers and Salespersons Shapes Sales Success," </w:t>
            </w:r>
            <w:r w:rsidRPr="00B6312F">
              <w:rPr>
                <w:rFonts w:ascii="David" w:hAnsi="David"/>
                <w:i/>
                <w:iCs/>
                <w:sz w:val="24"/>
              </w:rPr>
              <w:t>Journal of The Academy of Marketing Science</w:t>
            </w:r>
            <w:r w:rsidRPr="00B6312F">
              <w:rPr>
                <w:rFonts w:ascii="David" w:hAnsi="David"/>
                <w:sz w:val="24"/>
              </w:rPr>
              <w:t>, 41 (6), 625-48.</w:t>
            </w:r>
          </w:p>
          <w:p w14:paraId="4A299F73" w14:textId="77777777" w:rsidR="00E10369" w:rsidRPr="00B6312F" w:rsidRDefault="00E10369" w:rsidP="00E10369">
            <w:pPr>
              <w:pStyle w:val="a5"/>
              <w:rPr>
                <w:rFonts w:ascii="David" w:hAnsi="David"/>
                <w:sz w:val="24"/>
              </w:rPr>
            </w:pPr>
            <w:r w:rsidRPr="00B6312F">
              <w:rPr>
                <w:rFonts w:ascii="David" w:hAnsi="David"/>
                <w:sz w:val="24"/>
              </w:rPr>
              <w:t xml:space="preserve">De Cooman, Rein, Dave Stynen and Hans De Witte (2013), "How Job Characteristics Relate to Need Satisfaction and Autonomous Motivation: Implications for Work Effort," </w:t>
            </w:r>
            <w:r w:rsidRPr="00B6312F">
              <w:rPr>
                <w:rFonts w:ascii="David" w:hAnsi="David"/>
                <w:i/>
                <w:iCs/>
                <w:sz w:val="24"/>
              </w:rPr>
              <w:t>Journal of Applied Social Psychology</w:t>
            </w:r>
            <w:r w:rsidRPr="00B6312F">
              <w:rPr>
                <w:rFonts w:ascii="David" w:hAnsi="David"/>
                <w:sz w:val="24"/>
              </w:rPr>
              <w:t>, (43)6), 1342-52.</w:t>
            </w:r>
          </w:p>
          <w:p w14:paraId="39D6CF2D" w14:textId="77777777" w:rsidR="00E10369" w:rsidRPr="00B6312F" w:rsidRDefault="00E10369" w:rsidP="00E10369">
            <w:pPr>
              <w:pStyle w:val="a5"/>
              <w:rPr>
                <w:rFonts w:ascii="David" w:hAnsi="David"/>
                <w:sz w:val="24"/>
              </w:rPr>
            </w:pPr>
            <w:r w:rsidRPr="00B6312F">
              <w:rPr>
                <w:rFonts w:ascii="David" w:hAnsi="David"/>
                <w:sz w:val="24"/>
              </w:rPr>
              <w:t xml:space="preserve"> Fang, Meeiyu and Barry Gerhart (2012), "Does Pay for Performance Diminish Intrinsic Interest?," </w:t>
            </w:r>
            <w:r w:rsidRPr="00B6312F">
              <w:rPr>
                <w:rFonts w:ascii="David" w:hAnsi="David"/>
                <w:i/>
                <w:iCs/>
                <w:sz w:val="24"/>
              </w:rPr>
              <w:t>International Journal of Human Resource Management</w:t>
            </w:r>
            <w:r w:rsidRPr="00B6312F">
              <w:rPr>
                <w:rFonts w:ascii="David" w:hAnsi="David"/>
                <w:sz w:val="24"/>
              </w:rPr>
              <w:t>, 23(6), 1176-96.</w:t>
            </w:r>
          </w:p>
          <w:p w14:paraId="00D6C75F" w14:textId="77777777" w:rsidR="00E10369" w:rsidRPr="00B6312F" w:rsidRDefault="00E10369" w:rsidP="00E10369">
            <w:pPr>
              <w:pStyle w:val="a5"/>
              <w:rPr>
                <w:rFonts w:ascii="David" w:hAnsi="David"/>
                <w:sz w:val="24"/>
              </w:rPr>
            </w:pPr>
            <w:r w:rsidRPr="00B6312F">
              <w:rPr>
                <w:rFonts w:ascii="David" w:hAnsi="David"/>
                <w:sz w:val="24"/>
              </w:rPr>
              <w:t xml:space="preserve">Kishore, Sunil, Raghunath Singh Rao and George John (2013), "Bonuses Versus Commissions: A Field Study," </w:t>
            </w:r>
            <w:r w:rsidRPr="00B6312F">
              <w:rPr>
                <w:rFonts w:ascii="David" w:hAnsi="David"/>
                <w:i/>
                <w:iCs/>
                <w:sz w:val="24"/>
              </w:rPr>
              <w:t>Journal of Marketing</w:t>
            </w:r>
            <w:r w:rsidRPr="00B6312F">
              <w:rPr>
                <w:rFonts w:ascii="David" w:hAnsi="David"/>
                <w:sz w:val="24"/>
              </w:rPr>
              <w:t>, 50(June), 317-33.</w:t>
            </w:r>
          </w:p>
          <w:p w14:paraId="4AAB28B4" w14:textId="77777777" w:rsidR="00E10369" w:rsidRPr="00B6312F" w:rsidRDefault="00E10369" w:rsidP="00E10369">
            <w:pPr>
              <w:bidi w:val="0"/>
              <w:spacing w:before="120" w:line="360" w:lineRule="auto"/>
              <w:rPr>
                <w:rFonts w:ascii="David" w:hAnsi="David" w:cs="David"/>
                <w:sz w:val="24"/>
                <w:szCs w:val="24"/>
              </w:rPr>
            </w:pPr>
            <w:r w:rsidRPr="00B6312F">
              <w:rPr>
                <w:rFonts w:ascii="David" w:hAnsi="David" w:cs="David"/>
                <w:sz w:val="24"/>
                <w:szCs w:val="24"/>
              </w:rPr>
              <w:t xml:space="preserve">McCollough, Michael, Leonard Berry and Manjit Yadav (2000), “An Empirical Investigation of Customer Satisfaction after Service Failure and Recovery,” </w:t>
            </w:r>
            <w:r w:rsidRPr="00B6312F">
              <w:rPr>
                <w:rFonts w:ascii="David" w:hAnsi="David" w:cs="David"/>
                <w:i/>
                <w:iCs/>
                <w:sz w:val="24"/>
                <w:szCs w:val="24"/>
              </w:rPr>
              <w:t>Journal of Service Research</w:t>
            </w:r>
            <w:r w:rsidRPr="00B6312F">
              <w:rPr>
                <w:rFonts w:ascii="David" w:hAnsi="David" w:cs="David"/>
                <w:sz w:val="24"/>
                <w:szCs w:val="24"/>
              </w:rPr>
              <w:t>, 3(2), 121-137.</w:t>
            </w:r>
          </w:p>
          <w:p w14:paraId="23456D24" w14:textId="77777777" w:rsidR="00E10369" w:rsidRPr="00B6312F" w:rsidRDefault="00E10369" w:rsidP="00E10369">
            <w:pPr>
              <w:bidi w:val="0"/>
              <w:spacing w:before="120" w:line="360" w:lineRule="auto"/>
              <w:rPr>
                <w:rFonts w:ascii="David" w:hAnsi="David" w:cs="David"/>
                <w:sz w:val="24"/>
                <w:szCs w:val="24"/>
              </w:rPr>
            </w:pPr>
            <w:r w:rsidRPr="00B6312F">
              <w:rPr>
                <w:rFonts w:ascii="David" w:hAnsi="David" w:cs="David"/>
                <w:sz w:val="24"/>
                <w:szCs w:val="24"/>
              </w:rPr>
              <w:t xml:space="preserve">Reinartz, Werner and V. Kumar (2000), “On Profitability of Long Lifetime Customers: An Empirical Investigation and Implications for Marketing,” </w:t>
            </w:r>
            <w:r w:rsidRPr="00B6312F">
              <w:rPr>
                <w:rFonts w:ascii="David" w:hAnsi="David" w:cs="David"/>
                <w:i/>
                <w:iCs/>
                <w:sz w:val="24"/>
                <w:szCs w:val="24"/>
              </w:rPr>
              <w:t>Journal of Marketing</w:t>
            </w:r>
            <w:r w:rsidRPr="00B6312F">
              <w:rPr>
                <w:rFonts w:ascii="David" w:hAnsi="David" w:cs="David"/>
                <w:sz w:val="24"/>
                <w:szCs w:val="24"/>
              </w:rPr>
              <w:t>, 64(4), 17-35.</w:t>
            </w:r>
          </w:p>
          <w:p w14:paraId="3978C4A9" w14:textId="77777777" w:rsidR="00E10369" w:rsidRPr="00B6312F" w:rsidRDefault="00E10369" w:rsidP="00E10369">
            <w:pPr>
              <w:pStyle w:val="a5"/>
              <w:rPr>
                <w:rFonts w:ascii="David" w:hAnsi="David"/>
                <w:sz w:val="24"/>
              </w:rPr>
            </w:pPr>
            <w:r w:rsidRPr="00B6312F">
              <w:rPr>
                <w:rFonts w:ascii="David" w:hAnsi="David"/>
                <w:sz w:val="24"/>
              </w:rPr>
              <w:lastRenderedPageBreak/>
              <w:t xml:space="preserve">Steenburgh, Thomas and Michaek Ahearne (2012), Motivating Salespeople: What Really Works," </w:t>
            </w:r>
            <w:r w:rsidRPr="00B6312F">
              <w:rPr>
                <w:rFonts w:ascii="David" w:hAnsi="David"/>
                <w:i/>
                <w:iCs/>
                <w:sz w:val="24"/>
              </w:rPr>
              <w:t>Harvard Business Review</w:t>
            </w:r>
            <w:r w:rsidRPr="00B6312F">
              <w:rPr>
                <w:rFonts w:ascii="David" w:hAnsi="David"/>
                <w:sz w:val="24"/>
              </w:rPr>
              <w:t>, 90(7q8), 70-75.</w:t>
            </w:r>
          </w:p>
          <w:p w14:paraId="691D6547" w14:textId="77777777" w:rsidR="00E10369" w:rsidRPr="00B6312F" w:rsidRDefault="00E10369" w:rsidP="00E10369">
            <w:pPr>
              <w:pStyle w:val="a5"/>
              <w:rPr>
                <w:rFonts w:ascii="David" w:hAnsi="David"/>
                <w:sz w:val="24"/>
              </w:rPr>
            </w:pPr>
            <w:r w:rsidRPr="00B6312F">
              <w:rPr>
                <w:rFonts w:ascii="David" w:hAnsi="David"/>
                <w:sz w:val="24"/>
              </w:rPr>
              <w:t xml:space="preserve">Sturman, Michael C., Lian Chao and Jan H. Katz (2012), "the Effect of Culture on the Curvilinear Relationship Between Performance and Turnover," </w:t>
            </w:r>
            <w:r w:rsidRPr="00B6312F">
              <w:rPr>
                <w:rFonts w:ascii="David" w:hAnsi="David"/>
                <w:i/>
                <w:iCs/>
                <w:sz w:val="24"/>
              </w:rPr>
              <w:t>Journal of Applied Psychology</w:t>
            </w:r>
            <w:r w:rsidRPr="00B6312F">
              <w:rPr>
                <w:rFonts w:ascii="David" w:hAnsi="David"/>
                <w:sz w:val="24"/>
              </w:rPr>
              <w:t>, 97(10, 46-62.</w:t>
            </w:r>
          </w:p>
          <w:p w14:paraId="27C3457D" w14:textId="77777777" w:rsidR="00E10369" w:rsidRPr="00B6312F" w:rsidRDefault="00E10369" w:rsidP="00E10369">
            <w:pPr>
              <w:pStyle w:val="a5"/>
              <w:rPr>
                <w:rFonts w:ascii="David" w:hAnsi="David"/>
                <w:sz w:val="24"/>
              </w:rPr>
            </w:pPr>
            <w:r w:rsidRPr="00B6312F">
              <w:rPr>
                <w:rFonts w:ascii="David" w:hAnsi="David"/>
                <w:sz w:val="24"/>
              </w:rPr>
              <w:t xml:space="preserve">Wirtz, J.  et. Al (2012), " Opportunistic customer claiming during service recovery", </w:t>
            </w:r>
            <w:r w:rsidRPr="00B6312F">
              <w:rPr>
                <w:rFonts w:ascii="David" w:hAnsi="David"/>
                <w:i/>
                <w:iCs/>
                <w:sz w:val="24"/>
              </w:rPr>
              <w:t>Journal of the academy of marketing science</w:t>
            </w:r>
            <w:r w:rsidRPr="00B6312F">
              <w:rPr>
                <w:rFonts w:ascii="David" w:hAnsi="David"/>
                <w:sz w:val="24"/>
              </w:rPr>
              <w:t>, October, 654-675.</w:t>
            </w:r>
          </w:p>
          <w:p w14:paraId="00FBEFDD" w14:textId="77777777" w:rsidR="00687D9D" w:rsidRPr="00687D9D" w:rsidRDefault="00687D9D" w:rsidP="00687D9D">
            <w:pPr>
              <w:bidi w:val="0"/>
              <w:spacing w:after="0" w:line="240" w:lineRule="auto"/>
              <w:rPr>
                <w:rFonts w:ascii="David" w:eastAsia="Times New Roman" w:hAnsi="David" w:cs="David"/>
                <w:color w:val="222222"/>
                <w:sz w:val="24"/>
                <w:szCs w:val="24"/>
                <w:shd w:val="clear" w:color="auto" w:fill="FFFFFF"/>
                <w:rtl/>
              </w:rPr>
            </w:pPr>
          </w:p>
        </w:tc>
      </w:tr>
      <w:tr w:rsidR="00687D9D" w:rsidRPr="00687D9D" w14:paraId="33B56F1B" w14:textId="77777777" w:rsidTr="00481F9A">
        <w:tc>
          <w:tcPr>
            <w:tcW w:w="1770" w:type="dxa"/>
            <w:shd w:val="clear" w:color="auto" w:fill="auto"/>
          </w:tcPr>
          <w:p w14:paraId="5D9DE3F1" w14:textId="73530F99" w:rsidR="00687D9D" w:rsidRPr="00687D9D" w:rsidRDefault="00687D9D" w:rsidP="00687D9D">
            <w:pPr>
              <w:tabs>
                <w:tab w:val="num" w:pos="26"/>
              </w:tabs>
              <w:spacing w:after="0" w:line="240" w:lineRule="auto"/>
              <w:ind w:right="-180"/>
              <w:jc w:val="center"/>
              <w:rPr>
                <w:rFonts w:ascii="David" w:eastAsia="Times New Roman" w:hAnsi="David" w:cs="David"/>
                <w:b/>
                <w:bCs/>
                <w:sz w:val="24"/>
                <w:szCs w:val="24"/>
                <w:rtl/>
              </w:rPr>
            </w:pPr>
          </w:p>
        </w:tc>
        <w:tc>
          <w:tcPr>
            <w:tcW w:w="6752" w:type="dxa"/>
            <w:shd w:val="clear" w:color="auto" w:fill="auto"/>
          </w:tcPr>
          <w:p w14:paraId="0D3E8D0A" w14:textId="77777777" w:rsidR="00687D9D" w:rsidRPr="00687D9D" w:rsidRDefault="00687D9D" w:rsidP="00687D9D">
            <w:pPr>
              <w:bidi w:val="0"/>
              <w:spacing w:after="0" w:line="240" w:lineRule="auto"/>
              <w:ind w:right="-180"/>
              <w:rPr>
                <w:rFonts w:ascii="David" w:eastAsia="Times New Roman" w:hAnsi="David" w:cs="David"/>
                <w:sz w:val="24"/>
                <w:szCs w:val="24"/>
                <w:rtl/>
              </w:rPr>
            </w:pPr>
          </w:p>
        </w:tc>
      </w:tr>
    </w:tbl>
    <w:p w14:paraId="52743AAB" w14:textId="77777777" w:rsidR="00687D9D" w:rsidRPr="00687D9D" w:rsidRDefault="00687D9D" w:rsidP="00687D9D">
      <w:pPr>
        <w:tabs>
          <w:tab w:val="num" w:pos="26"/>
        </w:tabs>
        <w:spacing w:after="0" w:line="240" w:lineRule="auto"/>
        <w:ind w:left="-154" w:right="-180"/>
        <w:jc w:val="center"/>
        <w:rPr>
          <w:rFonts w:ascii="David" w:eastAsia="Times New Roman" w:hAnsi="David" w:cs="David"/>
          <w:sz w:val="24"/>
          <w:szCs w:val="24"/>
          <w:rtl/>
        </w:rPr>
      </w:pPr>
    </w:p>
    <w:p w14:paraId="4FFBA67C" w14:textId="77777777" w:rsidR="00687D9D" w:rsidRPr="00687D9D" w:rsidRDefault="00687D9D" w:rsidP="00687D9D">
      <w:pPr>
        <w:spacing w:after="0" w:line="240" w:lineRule="auto"/>
        <w:rPr>
          <w:rFonts w:ascii="David" w:eastAsia="Times New Roman" w:hAnsi="David" w:cs="David"/>
          <w:sz w:val="24"/>
          <w:szCs w:val="24"/>
        </w:rPr>
      </w:pPr>
    </w:p>
    <w:p w14:paraId="36349F28" w14:textId="77777777" w:rsidR="00C917E8" w:rsidRPr="00B6312F" w:rsidRDefault="00C917E8">
      <w:pPr>
        <w:rPr>
          <w:rFonts w:ascii="David" w:hAnsi="David" w:cs="David"/>
          <w:sz w:val="24"/>
          <w:szCs w:val="24"/>
        </w:rPr>
      </w:pPr>
    </w:p>
    <w:sectPr w:rsidR="00C917E8" w:rsidRPr="00B6312F" w:rsidSect="004D0C1E">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DA1E" w14:textId="77777777" w:rsidR="00B4480D" w:rsidRDefault="00A47491">
      <w:pPr>
        <w:spacing w:after="0" w:line="240" w:lineRule="auto"/>
      </w:pPr>
      <w:r>
        <w:separator/>
      </w:r>
    </w:p>
  </w:endnote>
  <w:endnote w:type="continuationSeparator" w:id="0">
    <w:p w14:paraId="3016DE2E" w14:textId="77777777" w:rsidR="00B4480D" w:rsidRDefault="00A4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19DBC" w14:textId="77777777" w:rsidR="00B4480D" w:rsidRDefault="00A47491">
      <w:pPr>
        <w:spacing w:after="0" w:line="240" w:lineRule="auto"/>
      </w:pPr>
      <w:r>
        <w:separator/>
      </w:r>
    </w:p>
  </w:footnote>
  <w:footnote w:type="continuationSeparator" w:id="0">
    <w:p w14:paraId="55D26826" w14:textId="77777777" w:rsidR="00B4480D" w:rsidRDefault="00A47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C043" w14:textId="77777777" w:rsidR="00A74883" w:rsidRDefault="006753CA" w:rsidP="00A74883">
    <w:pPr>
      <w:pStyle w:val="a3"/>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D7E6F"/>
    <w:multiLevelType w:val="hybridMultilevel"/>
    <w:tmpl w:val="0F10155E"/>
    <w:lvl w:ilvl="0" w:tplc="AE103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006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9D"/>
    <w:rsid w:val="00144C8A"/>
    <w:rsid w:val="006753CA"/>
    <w:rsid w:val="00687D9D"/>
    <w:rsid w:val="00826AD5"/>
    <w:rsid w:val="00A47491"/>
    <w:rsid w:val="00B4480D"/>
    <w:rsid w:val="00B6312F"/>
    <w:rsid w:val="00BA3019"/>
    <w:rsid w:val="00C917E8"/>
    <w:rsid w:val="00E103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8AB5"/>
  <w15:chartTrackingRefBased/>
  <w15:docId w15:val="{9991F2F5-4941-4F43-8E09-A265A399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7D9D"/>
    <w:pPr>
      <w:tabs>
        <w:tab w:val="center" w:pos="4153"/>
        <w:tab w:val="right" w:pos="8306"/>
      </w:tabs>
      <w:spacing w:after="0" w:line="240" w:lineRule="auto"/>
    </w:pPr>
  </w:style>
  <w:style w:type="character" w:customStyle="1" w:styleId="a4">
    <w:name w:val="כותרת עליונה תו"/>
    <w:basedOn w:val="a0"/>
    <w:link w:val="a3"/>
    <w:uiPriority w:val="99"/>
    <w:semiHidden/>
    <w:rsid w:val="00687D9D"/>
  </w:style>
  <w:style w:type="paragraph" w:styleId="a5">
    <w:name w:val="Body Text"/>
    <w:basedOn w:val="a"/>
    <w:link w:val="a6"/>
    <w:rsid w:val="00E10369"/>
    <w:pPr>
      <w:bidi w:val="0"/>
      <w:spacing w:before="120" w:after="0" w:line="360" w:lineRule="auto"/>
    </w:pPr>
    <w:rPr>
      <w:rFonts w:ascii="Times New Roman" w:eastAsia="Times New Roman" w:hAnsi="Times New Roman" w:cs="David"/>
      <w:sz w:val="20"/>
      <w:szCs w:val="24"/>
    </w:rPr>
  </w:style>
  <w:style w:type="character" w:customStyle="1" w:styleId="a6">
    <w:name w:val="גוף טקסט תו"/>
    <w:basedOn w:val="a0"/>
    <w:link w:val="a5"/>
    <w:rsid w:val="00E10369"/>
    <w:rPr>
      <w:rFonts w:ascii="Times New Roman" w:eastAsia="Times New Roman" w:hAnsi="Times New Roman" w:cs="Davi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azon.com/Anne-Morriss/e/B006OC9E0U/ref=sr_ntt_srch_lnk_1?qid=1336912977&amp;sr=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2957</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 Gal</dc:creator>
  <cp:keywords/>
  <dc:description/>
  <cp:lastModifiedBy>Hava Gal</cp:lastModifiedBy>
  <cp:revision>2</cp:revision>
  <dcterms:created xsi:type="dcterms:W3CDTF">2022-09-14T12:12:00Z</dcterms:created>
  <dcterms:modified xsi:type="dcterms:W3CDTF">2022-09-14T12:12:00Z</dcterms:modified>
</cp:coreProperties>
</file>